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D-5410/2011 vom 16. Januar 2013</w:t>
      </w:r>
    </w:p>
    <w:p>
      <w:r>
        <w:t>Bundesverwaltungsgericht, 2013-01-16, DE</w:t>
      </w:r>
    </w:p>
    <w:p>
      <w:r>
        <w:rPr>
          <w:b/>
        </w:rPr>
        <w:t xml:space="preserve">Quelle: </w:t>
      </w:r>
      <w:r>
        <w:t>https://mcp.opencaselaw.ch/entscheid/bvger_D-5410_2011</w:t>
      </w:r>
    </w:p>
    <w:p>
      <w:r>
        <w:t>FR: TAF D-5410/2011 du 16 janvier 2013</w:t>
      </w:r>
    </w:p>
    <w:p>
      <w:r>
        <w:t>IT: TAF D-5410/2011 del 16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Keine Flüchtlinge sind Personen, die wegen Wehr­dienstverweigerung oder Desertion ernsthaften Nachteilen ausge­setzt sind oder begründete Furcht haben, solchen Nachteilen ausgesetzt zu wer­den. Vorbehalten bleibt die Einhaltung der FK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w:t>
      </w:r>
    </w:p>
    <w:p>
      <w:r>
        <w:rPr>
          <w:b/>
        </w:rPr>
        <w:t>E. 5.1</w:t>
      </w:r>
    </w:p>
    <w:p>
      <w:r>
        <w:t>Das BFM hat in seiner Verfügung keine Zweifel an der Glaubhaftigkeit der damaligen Vorbringen der Beschwerdeführerin geäussert, aber ihre be­gründete Furcht vor ernsthaften Nachteilen im Entscheidzeitpunkt ver­neint. Aufgrund der protokollierten Aussagen, welche überwiegend substan­ziiert und in sich stimmig sind, hat auch das Bundes­verwaltungsge­richt keinen Anlass, die Glaubhaftigkeit der damali­gen Kernvorbringen wie namentlich die erlittene und zielgerichtete behördli­che Verfolgung zu bezweifeln.</w:t>
      </w:r>
    </w:p>
    <w:p>
      <w:r>
        <w:rPr>
          <w:b/>
        </w:rPr>
        <w:t>E. 5.2</w:t>
      </w:r>
    </w:p>
    <w:p>
      <w:r>
        <w:t>Die rechtliche Würdigung der damals bekannten Vorbringen durch die Vorinstanz im angefochtenen Entscheid erscheint als fragwürdig. So dient die für sich besehen an sich zutreffende Feststellung, dass Benachteiligun­gen wie die von der Beschwerdeführerin geltend gemachte Vergewaltigung und die dabei erlittenen schweren Misshandlungen im Zusammen­hang mit der Bürgerkriegssituation beziehungsweise der angespannten Lage unmittelbar vor Kriegsende zu sehen seien, bestenfalls der Beurtei­lung der damaligen Menschenrechtssituation. Für die Beurteilung der flücht­lingsrechtlichen Beachtlichkeit der in concreto geltend gemachten Be­nachteiligungen und Befürchtungen namentlich auch wegen der Fest­nahme des Mannes ist sie indessen untauglich. Insbesondere kann die Fest­stellung des Mehrfachvorkommens gleichgelagerter asylrelevanter Er­eignisse ein einzelnes solches Ereignis selbstredend nicht seiner flücht­lingsrechtlichen Beachtlichkeit berauben. Da die Beschwerdeführe­rin aber gemäss nachfolgenden Erwägungen gestützt auf die aktuelle Ak­tenlage mit ihren Begehren vollumfänglich durchdringt und ein reformatori­sches Urteil ergeht, erübrigen sich weitere Feststellungen zur vo­rinstanzlichen Argumentation. Auch die Frage, ob die Beschwerdeführe­rin bereits gestützt auf die damals bekannten Sachver­haltselemente im Entscheidzeitpunkt begründete Furcht zu attestieren gewe­sen wäre, kann somit letztlich offenbleiben.</w:t>
      </w:r>
    </w:p>
    <w:p>
      <w:r>
        <w:rPr>
          <w:b/>
        </w:rPr>
        <w:t>E. 6.1</w:t>
      </w:r>
    </w:p>
    <w:p>
      <w:r>
        <w:t>Die Beschwerdeführerin hat ihre eigenen Tätigkeiten für die LTTE und diejenigen ihres Mannes erst auf Rekursebene vollumfänglich gel­tend gemacht.</w:t>
      </w:r>
    </w:p>
    <w:p>
      <w:r>
        <w:rPr>
          <w:b/>
        </w:rPr>
        <w:t>E. 6.2</w:t>
      </w:r>
    </w:p>
    <w:p>
      <w:r>
        <w:t>Im Beschwerdeverfahren vor dem Bundesverwaltungsgericht können im Rahmen des Streitgegenstandes Noven geltend gemacht werden (René Rhinow/Heinrich Koller/Christina 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Für den Beschwer­deentscheid ist mithin die im Zeitpunkt seiner Ausfällung beste­hende Aktenlage massgeblich. Die angefochtene Verfügung des BFM hat sich somit nicht nur vor der im Moment ihres Erlasses gegebenen Sach- und Rechtslage zu behaupten, sondern ausserdem ge­genüber den im Ver­lauf des Beschwerdeverfahrens dazugekommenen Tatsachen und Be­weismit­teln zu bewähren.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 a.a.O., Rz. 694). Die in die­sen Fällen fehlende Entscheidungsreife kann grundsätz­lich zwar auch durch die Beschwerdeinstanz selbst herge­stellt werden, wenn dies im Ein­zelfall aus prozessökonomischen Gründen ange­bracht erscheint; sie muss dies aber nicht (vgl. Fritz Gygi, Bundesverwaltungs­rechts­pflege, 2. Aufl., Bern 1983, S. 233).</w:t>
      </w:r>
    </w:p>
    <w:p>
      <w:r>
        <w:rPr>
          <w:b/>
        </w:rPr>
        <w:t>E. 6.3</w:t>
      </w:r>
    </w:p>
    <w:p>
      <w:r>
        <w:t>Die vorinstanzlichen Erwägungen in der Vernehmlassung, welche ein­zig auf die Verletzung der Mitwirkungspflicht durch die Beschwerdeführe­rin hinweisen, und die damit verbundene Weigerung, die Vorbringen auf ihre Glaubhaftigkeit und Asylrelevanz zu prüfen, greifen mithin offensichtlich zu kurz. Klar ist zwar, dass die nachträgliche Geltendmachung von ausreiserelevanten Vorfällen deren Glaubhaftigkeit ernsthaft beeinträchtigen kann. Eine solche Sichtweise ist vorliegend aufgrund der konkreten Verfahrensumstände jedoch zu verwerfen. Es kann offen bleiben, aus welchen Gründen die Beschwerdeführerin erst auf Beschwerdeebene ihre enge Verbindung mit einem LTTE-Kader offenlegte. Gestützt auf die bestehende Aktenlage bestehen jedenfalls keine relevanten Zweifel daran, dass die erst auf Beschwerdeebene vorgebrachten spezifischen Bezüge nament­lich des Partners der Beschwerdeführerin zu den LTTE grundsätz­lich der Wahrheit entsprechen. Die wichtige und öffentliche Position des Eheman­nes bei den LTTE vermochte die Beschwerdeführerin durch verschiedene Zeitungsberichte verbunden mit persönlichen Fotos glaubhaft zu machen. Auch die Festnahme des Ehemannes durch die Behörden und sein ungewisses Schicksal sind nicht zu bezweifeln. Die Arbeit der Be­schwerdeführerin in einer Kooperative für die LTTE dürfte ebenfalls der Wahrheit entsprechen, wobei sie aber zu Recht einräumt, keine wichtige Po­sition innegehabt zu haben.</w:t>
      </w:r>
    </w:p>
    <w:p>
      <w:r>
        <w:rPr>
          <w:b/>
        </w:rPr>
        <w:t>E. 7.1</w:t>
      </w:r>
    </w:p>
    <w:p>
      <w:r>
        <w:t>Das Bundesverwaltungsgericht hat in seinem Urteil BVGE 2011/24 vom 27. Oktober 2011 eine umfassende Lageanalyse der gegenwärtigen Situation in Sri Lanka vorgenommen. Diese Analyse ist für die Entscheidfin­dung weiterhin massgebend. Es ist somit im vorliegenden Fall zu prüfen, ob die Beschwerdeführerin einer Risikogruppe im Sinne die­ses Grundsatzentscheides angehört.</w:t>
      </w:r>
    </w:p>
    <w:p>
      <w:r>
        <w:rPr>
          <w:b/>
        </w:rPr>
        <w:t>E. 7.2</w:t>
      </w:r>
    </w:p>
    <w:p>
      <w:r>
        <w:t>Am 19. Mai 2009 verkündete die Regierung Sri Lankas offiziell den Sieg der Regierungstruppen über die LTTE, und Präsident Rajapakse erklärte den seit 26 Jahren dauernden Krieg für beendet. Das Führungskader der LTTE ist der Medienberichterstat­tung zufolge komplett ausgelöscht wor­den. Trotz dieser Ver­ände­run­gen gibt es Personenkreise, die auch nach der Beendigung des militäri­schen Konflik­tes immer noch einer erhöhten Verfolgungsgefahr ausge­setzt sind. Dazu gehören unter anderem Perso­nen, die auch nach Be­endi­gung des Bürgerkriegs verdächtigt werden, mit den LTTE in Verbin­dung zu stehen oder gestanden zu haben, ebenso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BVGE 2011/24 E. 8).</w:t>
      </w:r>
    </w:p>
    <w:p>
      <w:r>
        <w:rPr>
          <w:b/>
        </w:rPr>
        <w:t>E. 7.3</w:t>
      </w:r>
    </w:p>
    <w:p>
      <w:r>
        <w:t>Unter Berücksichtigung der soeben skizzierten Rechtsprechung ist die subjektive Ver­folgungsfurcht der Beschwerdeführerin auch im aktuellen Zeitpunkt noch begründet (vgl. dazu auch Bst. C vorstehend). Als offenbar nur einfaches Mitglied der LTTE ist sie mit (...) der Organisation liiert. Deren Schick­sal ist nach der Festnahme wie erwähnt ungewiss. Die Beschwerdeführe­rin hat seit der Festnahme des Partners grundsätzlich versteckt leben müs­sen und war bis zuletzt gezielten Übergriffen und Einschüchterungen seitens des CID ausgesetzt. Ihre Tarnung dürfte im Sinne der Asyl- und Beschwerdevorbringen schliesslich aufgeflogen sein. Sie war bereits ernsthaften und gezielten Nachteilen durch die sri-lankischen Sicherheitsbehörden ausgesetzt und wurde dabei Opfer und Zeugin von schwersten Menschenrechtsverletzungen. Sie ist Partnerin ei­nes (...), behördlich festgenommenen und identifizierten LTTE-Mit­glieds und zudem ist sie ins Ausland abgetaucht. Namentlich wegen der Po­sition ihres Mannes müsste sie im Falle der Wiedereinreise mit beachtli­cher Wahrscheinlichkeit mit der Festnahme, einem Verhör verbun­den mit der Gefahr von erneuten Misshandlungen und einer Inhaftierung von einer gewissen Dauer rechnen. Ein weiteres - wenn auch untergeord­netes - Gefährdungselement ergäbe sich allenfalls auch aus ih­ren Narben (vgl. A 9/10 Antwort 34), sollten diese noch sichtbar sein. Der Europäische Gerichtshof für Menschenrechte (EMGR) führte in einem jüngeren Entscheid betreffend Sri Lanka aus, dass Narben eine Person insbesondere dann in den Augen der sri-lankischen Behörden als verdächtig erscheinen lassen, wenn diese Narben von Folterungen oder von einem LTTE-Training stammen (EGMR, E.G. v. United Kingdom, Ent­scheid vom 31. Mai 2011, Application no. 41178/08, § 80; vgl. auch NA. v. United Kingdom, Entscheid vom 17. Juli 2008, Application no. 25904/07 § 144).</w:t>
      </w:r>
    </w:p>
    <w:p>
      <w:r>
        <w:rPr>
          <w:b/>
        </w:rPr>
        <w:t>E. 7.4</w:t>
      </w:r>
    </w:p>
    <w:p>
      <w:r>
        <w:t>Aufgrund dieser Gesamtwürdigung ergibt sich, dass die Beschwerdefüh­rerin ein Profil aufweist, aufgrund dessen sie für die sri-lanki­schen Behörden als LTTE-Anhängerin wahrgenommen wird und da­her einer aktuellen Verfolgungsgefahr ausgesetzt ist. Zudem hat sie Menschenrechts­verletzungen erlitten und kann diese bezeugen. Eine innerstaat­liche Fluchtalternative besteht offensichtlich nicht, da sich die Ge­fährdung bereits bei der Einreise ergeben würde.</w:t>
      </w:r>
    </w:p>
    <w:p>
      <w:r>
        <w:rPr>
          <w:b/>
        </w:rPr>
        <w:t>E. 8</w:t>
      </w:r>
    </w:p>
    <w:p>
      <w:r>
        <w:t>Zusammenfassend ist festzuhalten, dass in Bezug auf die Beschwerdeführe­rin sämtliche Kriterien der in Art. 3 AsylG enthaltenen Defi­nition als erfüllt zu betrachten und diese demzufolge als Flüchtling anzu­erkennen ist. Die vorinstanzliche Verfügung ist dementsprechend auf­zuheben und es ist der Beschwerdeführerin mangels Anzeichen für das Vorliegen eines Ausschlussgrundes (Art. 53 AsylG) in der Schweiz Asyl zu gewähren (vgl. Art. 49 AsylG).</w:t>
      </w:r>
    </w:p>
    <w:p>
      <w:r>
        <w:rPr>
          <w:b/>
        </w:rPr>
        <w:t>E. 8.1</w:t>
      </w:r>
    </w:p>
    <w:p>
      <w:r>
        <w:t>Der minderjährige Sohn der Beschwerdeführerin ist in die Flüchtlingsei­genschaft seiner Mutter einzubeziehen (Art. 51 Abs. 1 AsylG).</w:t>
      </w:r>
    </w:p>
    <w:p>
      <w:r>
        <w:rPr>
          <w:b/>
        </w:rPr>
        <w:t>E. 9.1</w:t>
      </w:r>
    </w:p>
    <w:p>
      <w:r>
        <w:t>Bei diesem Ausgang des Verfahrens sind keine Kosten aufzuerlegen (Art. 63 Abs. 1 und 2 VwVG).</w:t>
      </w:r>
    </w:p>
    <w:p>
      <w:r>
        <w:rPr>
          <w:b/>
        </w:rPr>
        <w:t>E. 9.2</w:t>
      </w:r>
    </w:p>
    <w:p>
      <w:r>
        <w:t>Obsiegende Parteien haben Anspruch auf eine Parteient­schädi­gung für die ihnen erwachsenen notwendigen Kosten (Art. 7 Abs. 1 des Regle­ments vom 21. Februar 2008 über die Kosten und Ent­schä­di­gungen vor dem Bundes­verwaltungsgericht [VGKE, SR 173.320.2]). Nach­dem sich der not­wendige Vertretungsaufwand aufgrund der Ak­ten­lage und der Anga­ben auf S. 18 der Beschwerde hin­rei­chend zu­verlässig abschätzen lässt, er­übrigt sich die beantragte Einholung einer Kostennote. Die von der Vorinstanz aus­zu­rich­tende Parteientschädigung ist un­ter Berück­sichti­gung der mass­ge­ben­den Be­messungsfaktoren von Amtes wegen auf Fr. 2'800.-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