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D-5408/2008 vom 1. März 2011</w:t>
      </w:r>
    </w:p>
    <w:p>
      <w:r>
        <w:t>Bundesverwaltungsgericht, 2011-03-01, DE</w:t>
      </w:r>
    </w:p>
    <w:p>
      <w:r>
        <w:rPr>
          <w:b/>
        </w:rPr>
        <w:t xml:space="preserve">Quelle: </w:t>
      </w:r>
      <w:r>
        <w:t>https://mcp.opencaselaw.ch/entscheid/bvger_D-5408_2008</w:t>
      </w:r>
    </w:p>
    <w:p>
      <w:r>
        <w:t>FR: TAF D-5408/2008 du 1 mars 2011</w:t>
      </w:r>
    </w:p>
    <w:p>
      <w:r>
        <w:t>IT: TAF D-5408/2008 del 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4</w:t>
      </w:r>
    </w:p>
    <w:p>
      <w:r>
        <w:t>Sowohl das exilpolitische Engagement des Beschwerdeführers als auch die Konversion zum Christentum bildeten bereits Gegenstand des ersten Asyl- beziehungsweise Beschwerdeverfahrens. Das Bundesverwaltungsgericht hielt in seinem Urteil vom 26. September 2007 zusammengefasst fest, die iranischen Behörden hätten nur Interesse an der namentlichen Identifizierung einer Person, deren Aktivitäten über den Rahmen massentypischer und niedrigprofilierter Erscheinungsformen exilpolitischer Proteste hinausgingen und Funktionen oder Aktivitäten entwickelten, welche den Asylsuchenden als ernsthaften und gefährlichen Regimegegner erscheinen liessen. Die vom Beschwerdeführer geltend gemachten Aktivitäten (Teilnahmen an Demonstrationen, Mitarbeit an Informationsständen, Publikationen im Internet) vermöchten angesichts der umfangreichen regimekritischen Aktivitäten von Iranerinnen und Iranern in ganz Westeuropa keine objektiven Anhaltspunkte dafür zu liefern, dass die Beschwerdeführenden deswegen von den Behörden ihres Heimatlandes als gefährliche Regimegegner registriert worden wären. Zum Umstand der Konversion führte das Gericht aus, die Beschwerdeführenden seien erst nach ihrer Ausreise aus dem Heimatland zum christlichen Glauben übergetreten. Selbst wenn die iranischen Behörden von der in der Schweiz erfolgten Konversion Kenntnis erhalten hätten, heisse das nicht, dass die Beschwerdeführenden deshalb im Iran mit erheblicher Wahrscheinlichkeit einer asylrechtlich relevanten Verfolgung ausgesetzt wären, zumal sie keinerlei Tätigkeiten im Rahmen der Glaubensgemeinschaft geltend machten. Schliesslich sei zu betonen, dass aus der Sicht der iranischen Behörden ein im Ausland vollzogener Glaubensübertritt oft einzig dazu diene, einem allfälligen Asylgesuch Nachdruck zu verschaffen und damit nicht die Aufmerksamkeit der iranischen Behörden auf sich ziehe.</w:t>
      </w:r>
    </w:p>
    <w:p>
      <w:r>
        <w:rPr>
          <w:b/>
        </w:rPr>
        <w:t>E. 5.1</w:t>
      </w:r>
    </w:p>
    <w:p>
      <w:r>
        <w:t>Aufgrund der eingereichten Beweismittel geht das Bundesverwaltungsgericht davon aus, dass der Beschwerdeführer seine exilpolitischen Aktivitäten seit dem Urteil vom 26. September 2007 weiterführte, mithin bis Juli 2008 an Demonstrationen und weiteren Aktionen der DVF teilnahm und sich als Moderator an der wöchentlich ausgestrahlten stündigen Sendung bei Radio E._______ betätigte. Zu prüfen ist somit, ob diese weitere exilpolitische Betätigung zu einer abweichenden Einschätzung der Gefährdungssituation der Beschwerdeführenden Anlass gibt.</w:t>
      </w:r>
    </w:p>
    <w:p>
      <w:r>
        <w:rPr>
          <w:b/>
        </w:rPr>
        <w:t>E. 5.2</w:t>
      </w:r>
    </w:p>
    <w:p>
      <w:r>
        <w:t>Was die Voraussetzungen für die Annahme subjektiver Nachfluchtgründe bei exilpolitischer Betätigung anbelangt, kann grundsätzlich auf die weiterhin geltenden Ausführungen im Urteil vom 26. September 2007 verwiesen werden. Zusammengefasst ist nochmals daran zu erinnern, dass das iranische Strafrecht zwar die politische Betätigung für staatsfeindliche Organisationen im Ausland unter Strafe stellt und die iranischen Behörden die politischen Aktivitäten ihrer Staatsangehörigen im Ausland überwachen. Dabei ist aber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5.3</w:t>
      </w:r>
    </w:p>
    <w:p>
      <w:r>
        <w:t>Einleitend wies die Vorinstanz darauf hin, dass der Beschwerdeführer in seinem ersten Asylgesuch keine politische Betätigung im Heimatstaat und keine daraus resultierende Verfolgung geltend gemacht habe. Es bestehe somit kein Anlass zur Annahme, dass er vor dem Verlassen des Heimatstaates als regimefeindliche Person ins Blickfeld der iranischen Behörden geraten sei oder als Regimegegner oder politischer Aktivist registriert worden sei. Wenn in der Beschwerde dazu festgehalten wird, Fakt sei, dass der Bekanntheitsgrad einer asylsuchenden Person vor ihrer Ausreise lediglich eines von zahlreichen Kriterien zur Beurteilung der Frage darstelle, ob die Behörden des Heimatlandes Kenntnis von regimekritischen Aktivitäten hätten, entspricht dies gerade den Ausführungen der Vorinstanz. Es ist nicht ersichtlich, inwiefern das Bundesamt diesem Kriterium eine unzutreffende Bedeutung zugemessen hätte. Auf Beschwerdeebene wird weiter vorgetragen, der Beschwerdeführer sei nicht bloss Mitglied der DVF, sondern als Moderator und Verantwortlicher der Radiosendung ("...") an einem prestigeträchtigen und wichtigen Projekt der DVF massgeblich beteiligt. Er gehöre zwar nicht zum Kader der DVF, sei aber als Moderator der Radiosendung wöchentlich in Verbindung mit regimekritischen Themen auf Radio E._______ zu hören. Er habe damit eine grössere Publizität und einen weit grösseren Aktionsradius als beispielsweise ein Kantonsverantwortlicher oder ein hoher Funktionär, zumal der Beschwerdeführer selber für die Inhalte der Sendung verantwortlich zeichne. Insgesamt belegen die vom Beschwerdeführer eingereichten Beweismittel dessen exilpolitische Aktivitäten in einem Zeitraum von April 2007 bis Juli 2008. Was seine Teilnahmen an Demonstrationen und weiteren Aktionen bis zum 26. September 2007 anbelangt, kann auf das Urteil vom gleichen Datum verwiesen werden. Der Beschwerdeführer macht selber nicht geltend, die im zweiten Asylverfahren belegten Aktivitäten bis zum fraglichen Datum hätten zu einem abweichenden Entscheid führen müssen. In den Zeitraum nach dem Urteil des Bundesverwaltungsgerichts bis Juli 2008 fallen insgesamt zehn Teilnahmen an Demonstrationen, Protestkundgebungen und Versammlungen sowie die Moderationen bei Radio E._______. Dieser Moderationstätigkeit kann eine erhöhte Publizität - jedenfalls in der iranischen Diaspora - nicht abgesprochen werden. Allerdings ist zu beachten, dass sich die Beteiligung des Beschwerdeführers auf einen Zeitraum von Oktober 2007 bis anfangs Juli 2008 beschränkte. Zwar wird in einem Bestätigungsschreiben der DVF vom 20. August 2008 ausgeführt, der Beschwerdeführer sei (nach wie vor) zusammen mit einer weiteren Person verantwortlich für die wöchentliche, eine Stunde dauernde Radiosendung, er entscheide mit über den Programminhalt und verteile die Aufgaben an die Teammitglieder (vgl. Beilage 4 zur Beschwerdeschrift). Inwiefern diese Tätigkeit jedoch nach aussen überhaupt erkennbar wurde, wird nicht dargelegt. Der (zeitlich limitierte) Einsatz als Moderator ist deshalb - weder für sich noch unter Berücksichtigung seiner weiteren Aktivitäten - geeignet, dem Beschwerdeführer das Profil eines ernsthaft gefährdeten Exilaktivisten zu verschaffen. Mit Eingabe vom 3. September 2009 machte der Beschwerdeführer sodann geltend, er sei von F._______ im Rahmen von deren Sendung auf ("...") interviewt worden. Das Video sei auf der Internetplattform (...) öffentlich zugänglich. Die Übersetzung des Interviewtextes zeigt zwar durchaus eine gewisse Kritik am Regime im Iran, dies jedoch nicht in einem Ausmass, welches den Beschwerdeführer für die iranischen Behörden als besonders gefährlichen Regimegegner erscheinen liesse. Vielmehr ist die geäusserte Kritik weitgehend sehr allgemein gehalten. Insgesamt ergeben die exilpolitischen Aktivitäten des Beschwerdeführers kein derartiges politisches Profil, dass die iranischen Behörden ihn als ernsthaften und in seinem Wirkungsgrad gefährlichen Regimegegner identifizieren könnten. Insofern kann offen bleiben, ob es den iranischen Behörden überhaupt möglich ist, die Teilnehmer der Vielzahl von im Internet publizierten exilpolitischen Anlässen zu identifizieren. Schliesslich ist auch nicht zu beanstanden, dass die Vorinstanz als ein Kriterium berücksichtigt, ob Anlass zur Annahme besteht, die Behörden im Heimatstaat hätten bereits irgendwelche Massnahmen gegen den Beschwerdeführer ergriffen. Entgegen der Darstellung in der Beschwerde ist durchaus denkbar, dass ein Politaktivist auch im Ausland von allfälligen behördlichen Massnahmen im Heimatstaat Kenntnis erhält. Dies umso mehr, wenn die betroffene Person - was vorliegend der Fall ist - über Familienangehörige im Heimatstaat verfügt. Das Vorliegen subjektiver Nachfluchtgründe aufgrund exilpolitischer Betätigung ist nach dem Gesagten zu verneinen.</w:t>
      </w:r>
    </w:p>
    <w:p>
      <w:r>
        <w:rPr>
          <w:b/>
        </w:rPr>
        <w:t>E. 5.4</w:t>
      </w:r>
    </w:p>
    <w:p>
      <w:r>
        <w:t>In einem zweiten Punkt begründen die Beschwerdeführenden das Vorliegen subjektiver Nachfluchtgründe mit ihrer Konversion zum Christentum und ihren Aktivitäten als Mitglieder in der christlichen Freikirche G._______.</w:t>
      </w:r>
    </w:p>
    <w:p>
      <w:r>
        <w:rPr>
          <w:b/>
        </w:rPr>
        <w:t>E. 5.4.1</w:t>
      </w:r>
    </w:p>
    <w:p>
      <w:r>
        <w:t>Das Bundesverwaltungsgericht hat in seinem Urteil vom 9. Juli 2009 (BVGE 2009/28) eine ausführliche Lageanalyse zur Situation der religiösen Minderheiten im Allgemeinen sowie derjenigen der Christen im Iran im Besonderen vorgenommen und sich zum Vorliegen subjektiver Nachfluchtgründe bei Konversion (im Iran und in der Schweiz) geäussert. Es kam zum Schluss, dass Konversionen beziehungsweise Übertritte vom muslimischen Glauben zum Christentum in den letzten Jahren merklich zugenommen hätten. Dieses Phänomen werde einerseits durch die zunehmende Ablehnung der stets islamisch-restriktiv argumentierenden iranischen Regierungselite durch die zumeist jungen muslimischen Iranerinnen und Iraner, die ihre Hinwendung zum Christentum als Protest gegen die islamische Regierung verstehen würden, begründet. Anderseits sei eine augenfällige Intensivierung der Missionierungsbestrebungen christlicher Gruppierungen im Iran feststellbar. Dieser Trend erstaune umso mehr, als gemäss islamischem Recht für eine muslimische Person keine anerkannte Möglichkeit existiere, dem islamischen Glauben abzuschwören und zum Christentum überzutreten. Gemäss dem Koran komme der Abfall vom Glauben dem Verrat an der islamischen Gemeinde gleich und solle mit dem Tod bestraft werden. Das kodifizierte iranische Strafrecht kenne jedoch die Apostasie als Tatbestand bisher nicht. Der Richter könne die Todesstrafe für einen Konvertiten also nicht aus dem kodifizierten Strafrecht begründen. Bislang biete nur die Scharia dem iranischen Richter die Rechtsgrundlage, um Apostaten zum Tode zu verurteilen. Diesbezüglich habe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könne, was bisher nicht geschehen sei. In den letzten Jahren wurden denn auch keinerlei Verurteilungen zur Todesstrafe wegen Apostasie bekannt. Soweit der Glaubenswechsel ohne jegliche politische Betätigung erfolgt, gibt es im Strafrecht bislang keine Vorschriften, die ihn unter Strafe stellen. Allein der Übertritt führt grundsätzlich zu keiner (individuellen) staatlichen Verfolgung, sofern der Konvertite den absoluten Machtanspruch der Muslime respektiert und nicht missionierend tätig wird. Eine Verfolgung durch den iranischen Staat kommt erst dann zum Tragen, wenn der Glaubenswechsel aufgrund einer missionierenden Tätigkeit bekannt wird und zugleich Aktivitäten des Konvertiten vorliegen, die vom Regime als Angriff auf den Staat angesehen werden. Nach den Erkenntnissen des Bundesverwaltungsgerichts wurden Konvertiten nach der Amtseinsetzung von Präsident Ahmadinejad seitens der iranischen Behörden in verstärktem Mass Verfolgungshandlungen und Druckversuchen, welche die Konvertiten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den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am 9. September 2008 dem Parlament zur Diskussion vorgelegt wurde. Darin ist unter anderem eine Ausweitung der bestehenden Tatbestände für die Verhängung der Todesstrafe respektive die separate Einführung eines Apostasiestraftatbestandes vorgesehen. Bei Inkrafttreten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Zur - im vorliegenden Fall zur Diskussion stehenden - Konversion im Ausland wird in Erwägung 7.3.5 des erwähnten Grundsatzurteils ausgeführt, es sei eine differenzierte Beurteilung vorzunehmen, zumal solche Übertritte nach den Erkenntnissen der schweizerischen Asylbehörden nicht selten als eigentliches Mittel zum Erwerb einer sonst nicht erlangbaren Aufenthaltsmöglichkeit im betreffenden Aufenthaltsland instrumentalisiert würden. Diese asyltaktische Handlungsweise der iranischen Staatsbürger im westlichen Ausland sei den iranischen Behörden durchaus bekannt und werde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 grundsätzlich möglich sei. Aufgrund von bekanntermassen stattfindenden "organisierten Glaubenswechseln" sei - soweit möglich - die christliche Überzeugung eines Asylgesuchstellers im Einzelfall einer näheren Überprüfung zu unterziehen. Mithin vermöge eine christliche Glaubensausübung im Iran dann Massnahmen auszulösen, wenn sie hierzulande aktiv und sichtbar nach aussen praktiziert werde und im Einzelfall davon ausgegangen werden müsse, dass das heimatliche Umfeld von einer solche aktiven, allenfalls gar missionierende Züge annehmenden Glaubensausübung erfahre. Sollten nämlich nahe Familienangehörige extrem fanatische Muslime sein, könne der Übertritt zum Christentum zu nachhaltiger Denunzierung bei iranischen Sicherheitsdiensten führen. Zudem könne der Übertritt zum Christentum immer auch als "Hochverrat, Staatsverrat, Abfall von der eigenen Sippe und dem eigenen Stamm" gesehen werden. Bei Konversionen im Ausland müsse daher bei der Prüfung im Einzelfall neben der Glaubhaftigkeit der Konversion auch das Ausmass der öffentlichen Bekanntheit für die betroffene Person in Betracht gezogen werden.</w:t>
      </w:r>
    </w:p>
    <w:p>
      <w:r>
        <w:rPr>
          <w:b/>
        </w:rPr>
        <w:t>E. 5.4.2</w:t>
      </w:r>
    </w:p>
    <w:p>
      <w:r>
        <w:t>Die Vorinstanz hielt in der angefochtenen Verfügung fest, die Beschwerdeführenden seien erst nach der Einreise in die Schweiz zum Christentum übergetreten. Sie nähmen hier lediglich an Gottesdiensten und Seminarien der Freikirche G._______ teil und übten keine missionarischen Tätigkeiten aus. Allein die Konversion eines Iraners zum Christentum und die diskrete Ausübung des christlichen Glaubens vermöge keine konkrete Gefährdung bei einer Rückkehr zu begründen. Auf Beschwerdeebene wird dazu vorgetragen, die Beschwerdeführenden hätten sich unbestrittenermassen in der Schweiz vom Islam abgewendet und seien einer christlichen Freikirche beigetreten. Zur Mitgliedschaft bei der Freikirche gehöre nebst dem regelmässigen Besuch der Gottesdienste auch die missionarische Tätigkeit. Der Beschwerdeführer spreche vor gemässigten Muslimen, welche zumindest ein offenes Ohr für das Christentum aufwiesen, und lade diese in die Kirche ein. Zudem äussere er sich an Kongressen mit internationaler Beteiligung öffentlich zu seiner Konversion und zu seinem Lebensbericht mit der Absicht, Nachahmer zu finden. Solche Auftritte von ihm wie auch von der Beschwerdeführerin würden mitunter auf Video aufgenommen und via Satellitensender in der ganzen Welt - mithin auch in Ländern mit persisch sprachiger Bevölkerung und muslimischen Glaubens - ausgestrahlt. Es sei davon auszugehen, dass die iranischen Behörden über ihr Spitzelsystem von der Konversion sowie der missionarischen Tätigkeit erfahren hätten. Zwar kontaktiere der Beschwerdeführer nicht direkt die streng gläubigen Muslime, er mache aus seiner Konversion und der missionarischen Tätigkeit aber auch kein Geheimnis. Da der Beschwerdeführer im Rahmen seiner exilpolitischen Betätigung innerhalb der Gemeinde der Exiliraner durchaus einen gewissen Bekanntheitsgrad habe, sei seine Denunziation als Apostat und Missionar durch regimetreue und streng muslimische Exiliraner zu vermuten. Aufgrund ihrer Glaubensauffassung könne den Beschwerdeführenden nicht zugemutet werden, ihren Glauben im Iran im Versteckten auszuüben. Die wenigen Rechte, die den Christen im Iran zukämen, würden ihnen als Apostaten versagt, so dass sie weder an Gottesdiensten noch an anderen Veranstaltungen teilnehmen dürften.</w:t>
      </w:r>
    </w:p>
    <w:p>
      <w:r>
        <w:rPr>
          <w:b/>
        </w:rPr>
        <w:t>E. 5.4.3</w:t>
      </w:r>
    </w:p>
    <w:p>
      <w:r>
        <w:t>Gestützt auf die Akten ist davon auszugehen, dass sich die Beschwerdeführenden am 12. November 2006 in der evangelischen Freikirche G._______ taufen liessen. Ob dieser Taufe, welche nur zwei Monate nach der Einreise der Beschwerdeführenden in die Schweiz erfolgte, tatsächlich eine tiefe christliche Überzeugung zugrundelag, erscheint zwar fraglich, kann jedoch im vorliegenden Verfahren offen bleiben. Mit Schreiben vom 25. November 2007 wurde die Mitgliedschaft der Beschwerdeführenden in der G._______ und ihr regelmässiger Gottesdienstbesuch bestätigt. Aufgrund der weiteren Beweismittel - insbesondere den Abbildungen im Publikationsorgan der Freikirche - ist davon auszugehen, dass sich die Beschwerdeführenden in verschiedener Hinsicht in der G._______ engagieren, so beispielsweise als freiwillige Helfer bei kirchlichen Anlässen, als Teilnehmer an einem Hauskreis, als Mitglied eines Lobpreisteams oder indem sie ihren Glauben im Rahmen von Gottesdiensten und Interviews bekräftigen. Angesichts dieses Engagements der Beschwerdeführenden über mittlerweile längere Zeit besteht für das Gericht kein Anlass zur Annahme, bei der Konversion der Beschwerdeführenden handle es sich um eine asyltaktische Massnahme. Dennoch ist das Vorliegen subjektiver Nachfluchtgründe im konkreten Fall zu verneinen. Aufgrund der Aktenlage ist nicht davon auszugehen, dass die Beschwerdeführenden im Zusammenhang mit ihrer christlichen Gesinnung in leitender Funktion tätig wären oder sich in besonderer Weise exponiert hätten. Die behauptete Unterstützung (sie fungierten als "rechte Hand") des Verantwortlichen A.K. für iranische Staatsangehörige ändert daran ebenso wenig wie die öffentliche Bekennung zum Christentum im Rahmen von Gottesdiensten, selbst wenn diese aufgezeichnet und im Internet veröffentlicht werden. Dies insbesondere vor dem Hintergrund der immensen Flut an im Internet täglich veröffentlichten Mitteilungen und Videos. Von einer konkreten Gefahr, dass die Beschwerdeführenden den iranischen Behörden aufgrund ihrer Konversion zum Christentum bekannt wären und ihnen dies zu Verfolgungshandlungen Anlass geben würde, ist daher mit überwiegender Wahrscheinlichkeit nicht auszugehen. Es bestehen keine konkreten Anhaltspunkte, dass die Beschwerdeführenden aufgrund ihrer religiösen Gesinnung im Falle einer Rückkehr Verfolgungsmassnahmen gemäss Art. 3 AsylG zu gewärtigen hätten.</w:t>
      </w:r>
    </w:p>
    <w:p>
      <w:r>
        <w:rPr>
          <w:b/>
        </w:rPr>
        <w:t>E. 6</w:t>
      </w:r>
    </w:p>
    <w:p>
      <w:r>
        <w:t>Zusammenfassend ist festzustellen, dass die geltend gemachten Nachfluchtgründe nicht geeignet sind, eine flüchtlingsrechtlich relevante Verfolgungsfurcht zu begründen, weshalb die Beschwerdeführenden nicht als Flüchtlinge anerkannt werden können. An dieser Einschätzung vermögen weder die weiteren Ausführungen in den Eingaben noch die beigelegten Beweismittel etwas zu ändern, weshalb darauf verzichtet werden kann, auf diese weiter einzugehen. Die Vorinstanz hat die Asylgesuche der Beschwerdeführenden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und Art. 33 FK verankerte Prinzip des flüchtlingsrechtlichen Non-Refoulements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im Iran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Vorliegend ist der Vollzug der Wegweisung als zumutbar zu er­achten, weil keine Hinweise dafür erkennbar sind, die Beschwerdeführenden wären bei einer Rückkehr in den Iran einer konkreten Gefährdung aufgrund der allgemeinen Lage ausgesetzt. Das Bundesverwaltungs­gericht erachtet den Wegweisungsvollzug gestützt auf die allgemeine Lage als generell zumutbar.</w:t>
      </w:r>
    </w:p>
    <w:p>
      <w:r>
        <w:rPr>
          <w:b/>
        </w:rPr>
        <w:t>E. 8.3.3</w:t>
      </w:r>
    </w:p>
    <w:p>
      <w:r>
        <w:t>Es sind auch keine individuellen Gründe ersichtlich, welche die Rückkehr der Beschwerdeführenden in ihre Heimat als unzumutbar erscheine lassen würden. Zur Vermeidung unnötiger Wiederholungen kann zunächst auf das Urteil des Bundesverwaltungsgerichts vom 26. September 2007 (E. 5.10) verwiesen werden. Aus den Akten - insbesondere dem eingereichten Arztzeugnis vom 18. März 2008 - sind keine gesundheitlichen Beeinträchtigungen ersichtlich, welche den Wegweisungsvollzug unzumutbar erscheinen liessen. Entsprechendes wird auf Beschwerdeebene denn auch nicht vorgebracht.</w:t>
      </w:r>
    </w:p>
    <w:p>
      <w:r>
        <w:rPr>
          <w:b/>
        </w:rPr>
        <w:t>E. 8.3.4</w:t>
      </w:r>
    </w:p>
    <w:p>
      <w:r>
        <w:t>Der Vollständigkeit halber bleibt anzumerken, dass die von zahlreichen Drittpersonen bestätigte Integration der Beschwerdeführenden in der Schweiz keine andere Beurteilung der Zumutbarkeit des Wegweisungsvollzuges zulässt.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8.3.5</w:t>
      </w:r>
    </w:p>
    <w:p>
      <w:r>
        <w:t>Somit erweist sich der Vollzug der Wegweisung insgesamt auch als zumutbar.</w:t>
      </w:r>
    </w:p>
    <w:p>
      <w:r>
        <w:rPr>
          <w:b/>
        </w:rPr>
        <w:t>E. 8.4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Dem Ausgang des Verfahrens entsprechend wären die Kosten den mit ihren Begehren unterlegenen Beschwerdeführenden zu überbinden (Art. 63 Abs. 1 VwVG). Diese haben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nicht davon auszugehen, dass die Beschwerdeführenden ein den prozessualen Notbedarf übersteigendes Einkommen erzielen.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w:t>
      </w:r>
    </w:p>
    <w:p>
      <w:r>
        <w:rPr>
          <w:b/>
        </w:rPr>
        <w:t>E. 10.2</w:t>
      </w:r>
    </w:p>
    <w:p>
      <w:r>
        <w:t>Die Beschwerdeführenden liessen mit ihrer Beschwerde sinngemäss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der Beschwerdeführenden auf Beiordnung eines amtlichen Rechtsvertreters nach Art. 65 Abs. 2 VwVG wird mangels Notwendigkeit daher nicht stattgegeben.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