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D-5407/2014 vom 2. Juni 2015</w:t>
      </w:r>
    </w:p>
    <w:p>
      <w:r>
        <w:t>Bundesverwaltungsgericht, 2015-06-02, DE</w:t>
      </w:r>
    </w:p>
    <w:p>
      <w:r>
        <w:rPr>
          <w:b/>
        </w:rPr>
        <w:t xml:space="preserve">Quelle: </w:t>
      </w:r>
      <w:r>
        <w:t>https://mcp.opencaselaw.ch/entscheid/bvger_D-5407_2014</w:t>
      </w:r>
    </w:p>
    <w:p>
      <w:r>
        <w:t>FR: TAF D-5407/2014 du 2 juin 2015</w:t>
      </w:r>
    </w:p>
    <w:p>
      <w:r>
        <w:t>IT: TAF D-5407/2014 del 2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(früher: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im Zusammenhang mit den vom Beschwerdeführer geschilderten Ereignissen im Heimatland zusammengefasst aus, es sei nicht auszuschliessen, dass er im Iran regierungskritische Flugblätter verteilt habe. Indessen bestünden erhebliche Zweifel an der geltend gemachten Freundschaft mit einer politischen Aktivistin und deren Verhaftung. So habe er nur detailarme Angaben zum biographischen Hintergrund seiner Freundin machen können, beispielsweise wisse er nicht, was seine Freundin studiert habe. Überdies seien die vorgebrachten Hinweise, die auf eine Verhaftung der Freundin hindeuteten, als vage zu bezeichnen. Ein ausgeschaltetes Handy stelle noch keinen Hinweis auf eine Verhaftung dar. Es sei zudem nicht nachvollziehbar, weshalb der Beschwerdeführer kaum etwas unternommen habe, um mehr über den Verbleib seiner Freundin herauszufinden. Auch wenn der direkte Kontakt zur Freundin nicht möglich gewesen sei, wäre angesichts der geltend gemachten Verfolgung zu erwarten gewesen, dass er mehr Bemühungen angestellt hätte, um etwas über den Verbleib der Freundin herauszufinden, zumal die vorgebrachte Festnahme ein zentrales Element in seinen Vorbringen darstelle. Das Desinteresse am Schicksal der Freundin erwecke hingegen den Eindruck, dass er das Geschilderte nicht selbst erlebt habe. Als nicht stimmig bezeichnet das BFM sodann die Schilderung des Beschwerdeführers, dass seine Freundin ihm zwar keine Auskunft über die Herkunft der Flugblätter habe erteilen dürfen, sie ihn aber dennoch zu einem Treffen mit ihrer politisch aktiven Gruppe mitgenommen haben soll. Widersprüchlich und vage seien überdies die Angaben des Beschwerdeführers zum Besuch der Behörden bei ihm zu Hause ausgefallen. Insbesondere sei nicht nachvollziehbar, wie er alleine aus der Präsenz eines Polizeiautos habe schliessen können, dass er gesucht werde. Auch wenn er seine Freundin vorher seit einigen Tagen nicht habe erreichen können, könne alleine die Präsenz eines Polizeiautos nicht als konkreter Hinweis auf Verfolgung gewertet werden. Die Erwähnung der Sicherheitspolizei vermittle vielmehr den Eindruck, einem konstruierten Vorbringen Nachdruck verleihen zu wollen. Zu den vom Beschwerdeführer vorgetragenen exilpolitischen Aktivitäten erwog die Vorinstanz, es sei zwar bekannt, dass sich die iranischen Behörden grundsätzlich für die exilpolitischen Aktivitäten ihrer Staatsangehörigen interessierten. Es sei jedoch davon auszugehen, dass sie sich bei ihrer Überwachung auf Personen konzentrierten, die mit ihren politischen Aktivitäten aus der Masse der regimekritischen iranischen Staatsangehörigen hervortreten und als ernsthafte Bedrohung für das iranische Regime wahrgenommen würden. Massgebend sei dabei eine öffentliche Exponierung, die aufgrund der Persönlichkeit des Betreffenden, der Form des Auftritts und des Inhalts der in der Öffentlichkeit abgegebenen Erklärungen den Eindruck erwecke, dass die Person eine Gefahr für das politische System des Irans darstelle. Die Aktivitäten des Beschwerdeführers - Mitgliedschaft bei der Iranischen Demokratischen Bewegung (IDB), Teilnahme an Kundgebungen, Organisation von Standaktionen - stellten keine exponierte exilpolitische Betätigung dar. Zudem bestünden keine Anhaltspunkte für die Annahme, im Iran wären gegen den Beschwerdeführer aufgrund der geltend gemachten Aktivitäten behördliche Massnahmen eingeleitet worden. Demnach könne nicht davon ausgegangen werden, er werde als konkrete Bedrohung für die iranischen Behörden wahrgenommen und deshalb verfolgt.</w:t>
      </w:r>
    </w:p>
    <w:p>
      <w:r>
        <w:rPr>
          <w:b/>
        </w:rPr>
        <w:t>E. 5.2</w:t>
      </w:r>
    </w:p>
    <w:p>
      <w:r>
        <w:t>In der Beschwerdeschrift wird diesen Ausführungen im Wesentlichen entgegengehalten, zunächst sei darauf hinzuweisen, dass keine Zweifel an der allgemeinen Glaubwürdigkeit des Beschwerdeführers ersichtlich seien. Im Zusammenhang mit seiner Beziehung im Heimatland wird eingewendet, es sei zu berücksichtigen, dass die Verhältnisse im städtischen Iran nicht mit denjenigen in der Schweiz gleichgesetzt werden könnten. Das von ihm geschilderte Kennenlernen sei wegen der Sittenwächter sehr risikoreich gewesen und habe deshalb im Versteckten und geheim vor sich gehen müssen. Vor diesem Hintergrund könne ohne weiteres nachvollzogen werden, dass sie, auch bei ihren regelmässigen Treffen, nur sehr wenige persönliche Informationen hätten austauschen können. Erst mit der Zeit sei dem Beschwerdeführer bewusst geworden, dass es sich bei E. um eine politische Aktivistin gehandelt habe. Ab diesem Zeitpunkt habe er keine näheren Angaben von ihr verlangt, weil er sie nicht habe gefährden wollen. Hinsichtlich der Festnahme von E. wird eingeräumt, es treffe vordergründig zu, dass aus dem Abschalten eines Handys nicht auf die Festnahme der Handybesitzerin geschlossen werden könne. Unter den gegebenen Umständen bilde das tagelange Abschalten allerdings ein starkes Indiz dafür. Da der Beschwerdeführer weder die Adresse noch andere personenspezifische Angaben seiner Freundin gekannt habe, sei es ihm auch nicht möglich gewesen, ihre Eltern beziehungsweise Familie aufzusuchen oder zu kontaktieren. Dass er sich nicht bei den iranischen Behörden erkundigt habe, liege auf der Hand. Die Mitglieder der Aktivistengruppe habe er sodann bloss vom Sehen bei einem einmaligen Treffen gekannt und deshalb auch von diesen Personen keinerlei Kontaktdaten besessen. Die Argumentation der Vorinstanz gehe deshalb ins Leere. Wenn sie ihm überdies noch Desinteresse vorwerfe, verkenne sie die im Iran herrschende Situation. Die vom Beschwerdeführer getroffene Schlussfolgerung, seine Freundin sei festgenommen und inhaftiert worden, erscheine vor dem Hintergrund der länderspezifischen Situation naheliegend und glaubhaft. Nicht geteilt werden könne die Auffassung der Vorinstanz, es sei widersprüchlich, dass der Beschwerdeführer von seiner Freundin keine näheren Angaben über die Herkunft der Flugblätter erhalten haben wolle und gleichwohl an einer Sitzung der Gruppe habe teilnehmen dürfen. Die Gruppe habe geheim operiert und sich - auch gegenüber Sympathisanten wie dem Beschwerdeführer - aus Sicherheitsgründen nach aussen abgeschottet, was sich ohne weiteres mit dem hohen Repressionsdruck im Iran erklären lasse. Der Beschwerdeführer habe sodann den Inhalt der Flugblätter gekannt und gegenüber der Vorinstanz wiedergeben können. Ausserdem sei das Treffen mit der Oppositionsgruppe erst nach längerer Zeit des Kennenlernens und nach wiederholten Treffen mit E. erfolgt. Die Absprachen, welche die Gruppenmitglieder im Beisein des Beschwerdeführers getroffen hätten, hätten sich im Übrigen auf alltägliche Aufgaben bezogen und bei einem allfälligen Verrat den Sicherheitskräften bloss wenig weitergeholfen. Der vorinstanzliche Vorwurf unstimmiger Angaben zur Hausdurchsuchung sei angesichts des summarischen Charakters der BzP unredlich. Hinzu komme, dass der Beschwerdeführer die Hausdurchsuchung als solche nicht miterlebt habe, sondern nur vom Hörensagen schildern könne. In Bezug auf seine exilpolitischen Aktivitäten wird in der Beschwerdeschrift ausgeführt, der Beschwerdeführer sei bis heute exilpolitisch gegen die heimatliche Regierung aktiv. Seine Teilnahme an den Kundgebungen, Sitzungen und kulturellen Anlässen der IDB sei geeignet, seine Furcht vor flüchtlingsrelevanter Verfolgung zu begründen. Die dokumentierten Aktivitäten zeigten einen vergleichsweise hohen Exponierungsgrad, weshalb zu erwarten sei, dass er dadurch das Interesse der iranischen Behörden auf sich gezogen habe. Angesichts der heutigen Technologien und des Umstandes, dass innerhalb der Oppositionskreise die regimetreuen iranischen Zuträger und Spitzel aktiv seien, müsse davon ausgegangen werden, dass die iranischen Behörden von den Exilaktivitäten des Beschwerdeführers soweit Notiz genommen hätten, dass sie ihn in der Schweiz als regimekritischen Oppositionellen identifiziert hätten. Vor dem Hintergrund der aktuellen Situation im Iran und der allgemein äusserst prekären dortigen Menschenrechtslage müsse der im vorliegenden Ausmass exilpolitisch tätige Beschwerdeführer im Falle einer Rückkehr in den Heimatstaat mit ernsthaften Nachteilen im Sinne von Art. 3 AsylG rechnen. Damit wäre er mindestens wegen subjektiver Nachfluchtgründe im Sinne von Art. 54 AsylG als Flüchtling anzuerkennen.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 2.3 S. 826 f., Entscheidungen und Mitteilungen der Schweizerischen Asylrekurskommission [EMARK] 2005 Nr. 21 E.6.1 S.190 f. mit weiteren Hinweisen). 6.2 Nach Prüfung der Akten durch das Gericht ist - in Übereinstimmung mit der Vorinstanz - festzustellen, dass die Angaben des Beschwerdeführers zu den Verfolgungsgründen im Zeitpunkt seiner Ausreise aus dem Heimatland den Anforderungen von Art. 7 AsylG an die Glaubhaftigkeit nicht zu genügen vermögen. Zur Vermeidung von Wiederholungen ist auf die ausführlichen und zutreffenden Erwägungen in der angefochtenen Verfügung zu verweisen. Die Vorbringen in der Rechtsmittelschrift sind nicht geeignet, eine Änderung der vorinstanzlichen Verfügung zu bewirken. So vermögen die zweifellos anderen Verhältnisse im Iran - jedenfalls was das Verhalten im öffentlichen Raum anbelangt - nicht nachvollziehbar zu erklären, weshalb der Beschwerdeführer kaum persönliche Informationen über seine Freundin kennt. Weshalb sie sich zwar über die politischen Aktivitäten der Freundin, nicht aber über ihren persönlichen Hintergrund hätten unterhalten können, ist unerfindlich. Dies umso mehr, als die Familie des Beschwerdeführers von der Freundschaft wusste (vgl. A 18/20 S. 6) und es gerade die persönlichen Verhältnisse sind, die bei der Aufnahme einer Beziehung besonders interessieren. Nicht zu überzeugen vermag im Weiteren, dass der Beschwerdeführer angesichts der behaupteten Dauer der Beziehung (vgl. A 18/20 S. 5f.) keine einzige Person aus dem Umfeld seiner Freundin nach deren Verbleib hätte fragen können. Im Übrigen sind - wie von der Vorinstanz zutreffend dargelegt - unter den vom Beschwerdeführer geschilderten Umständen unterschiedliche Gründe für die fehlende Erreichbarkeit seiner Freundin denkbar. Als zutreffend erweist sich sodann auch die vorinstanzliche Einschätzung, es widerspreche jeglicher Logik, dass seine Freundin dem Beschwerdeführer keine Details über die politische Gruppierung mitgeteilt, ihn aber an eine Sitzung mitgenommen habe. In Bezug auf die behördliche Suche ist schliesslich darauf hinzuweisen, dass die Vorinstanz dem Beschwerdeführer nicht in erster Linie divergierende Aussagen anlässlich der BzP und der Anhörung zur Last legt. Vielmehr bemängelt sie, dass die Präsenz eines Polizeiautos für sich allein die Schlussfolgerung auf eine behördliche Suche nach dem Beschwerdeführer nicht nachvollziehbar erscheinen lasse. Diese Argumentation ist nicht zu beanstanden. 6.3 Von subjektiven Nachfluchtgründen ist auszugehen, wenn ein Asylsuchender erst durch die Flucht aus dem Heimat- oder Herkunftsstaat oder wegen seines Verhaltens nach der Ausreise eine Verfolgung im Sinne von Art. 3 AsylG zu befürchten hat. Personen mit subjektiven Nachfluchtgründen erhalten kein Asyl, werden jedoch als Flüchtlinge vorläufig aufgenommen (vgl. Art. 54 AsylG; BVGE 2009/28 E. 7.1 und E. 7.4.3). Massgeblich ist, ob die heimatlichen Behörden das Verhalten des Asylsuchenden als staatsfeindlich einstufen und dieser deshalb bei einer Rückkehr in den Heimatstaat eine Verfolgung im Sinne des Gesetzes befürchten muss. Massgeblich sind die Anforderungen an den Nachweis einer begründeten Furcht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6.3.1 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 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Michael Kirschner, Iran: Rückkehrgefährdung für Aktivistinnen und Mitglieder exilpolitischer Organisationen - Informationsgewinnung iranischer Behörden, Auskunft der SFH-Länderanalyse, 4. April 2006, S. 7 f.). 6.3.2 Vorab ist festzuhalten, dass die vom Beschwerdeführer geltend gemachte Verfolgung im Heimatland - wie die vorangehenden Erwägungen gezeigt haben - insgesamt nicht als glaubhaft erachtet werden kann. Somit können die in der Schweiz dargelegten politischen Aktivitäten nicht als Fortsetzung des angeblich im Heimatland begonnenen politischen Engagements gesehen werden. Daran vermag auch eine allfällige Verteilung von Flugblättern nichts zu ändern, zumal ihm - wie sich den vorangehenden Erwägungen entnehmen lässt - nicht geglaubt werden kann, er sei von den heimatlichen Behörden identifiziert und als Folge davon verfolgt worden. Aus der Aktenlage ergibt sich, dass der Beschwerdeführer erst in der Schweiz politisch aktiv in Erscheinung getreten ist. Somit war er den iranischen Behörden im Zeitpunkt seiner Ausreise nicht als politischer Aktivist bekannt und kann auch nicht entsprechend registriert worden sein. Die Vorinstanz hat im Übrigen zutreffend dargelegt, weshalb die Aktivitäten des Beschwerdeführers in der Schweiz nicht zur Annahme eines politischen Profils führen, welches auf eine konkrete Gefährdung im Sinne von Art. 3 AsylG schliessen lasse. Die (appellatorische) Kritik des Beschwerdeführers vermag die Argumentation der Vorinstanz nicht zu entkräften. 6.4 Was die Konversion des Beschwerdeführers zum Christentum betrifft, reichte der Beschwerdeführer auf Beschwerdeebene eine Bestätigung über die Teilnahme an einem katholischen Taufvorbereitungskurs vom 23. September 2014, einen Taufschein vom 9. Mai 2015 und ein Begrüssungsschreiben des Bischofs von Basel vom gleichen Datum zu den Akten. 6.4.1 Bei einer christlichen Glaubensausübung von iranischen Asylsuchenden im Ausland ist gemäss Praxis des Bundesverwaltungsgerichts die christliche Überzeugung der betreffenden Personen im Einzelfall, soweit möglich, einer näheren Überprüfung zu unterziehen (vgl. hierzu insbesondere BVGE 2009/28 E. 7.3.4 und E. 7.3.5).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nämlich nahe Familienangehörige extrem fanatische Muslime sein, kann der Übertritt zum Christentum zu nachhaltiger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beispielsweise Urteile des BVGer E-5454/2013 vom 25. Februar 2014 E. 6.3 und E-6369/2013 vom 26. März 2014 E. 5.2.5). 6.4.2 Festzuhalten ist zunächst, dass sich den vorinstanzlichen Akten kein Hinweis darauf entnehmen lässt, dass sich der Beschwerdeführer bereits im Verlauf des erstinstanzlichen Verfahrens für den christlichen Glauben interessierte. Insbesondere erwähnte er solches mit keinem Wort anlässlich der Anhörung vom 21. Oktober 2013, auch nicht, als er ausdrücklich nach noch nicht erwähnten, gegen eine Rückkehr sprechenden Gründen gefragt wurde (vgl. A 18/20 S. 17). Ebenso enthält die Beschwerdeschrift vom 22. September 2014 keine entsprechenden Ausführungen, obschon der Beschwerdeführer gemäss eingereichter Bestätigung bereits seit dem 11. Juni 2014 den katholischen Taufvorbereitungskurs besuchte. Allein der Übertritt zum christlichen Glauben führt indessen - wie vorstehend dargelegt - nicht per se zur Bejahung einer Verfolgung. Im Rahmen seiner Mitwirkungspflicht (Art. 8 Abs. 1 AsylG) hätte es dem (anwaltlich vertretenen) Beschwerdeführer oblegen darzutun, inwiefern über die Taufe hinaus ein Sachverhalt gegeben sei, der zu weiteren Abklärungen Anlass gäbe. Entsprechende Ausführungen fehlen jedoch. Bei der vorliegenden Sachlage kann vom Einholen einer vorinstanzlichen Vernehmlassung und anderen Weiterungen abgesehen werden. Der Glaubensübertritt des Beschwerdeführers ist deshalb vorliegend nicht als subjektiver Nachfluchtgrund zu erkennen. 6.5 Aus dem Gesagten ergibt sich, dass der Beschwerdeführer keine subjektiven Nachfluchtgründe glaubhaft gemacht hat. Das BFM hat somit insgesamt zu Recht das Vorliegen von Vor- und Nachfluchtgründen verneint, dem Beschwerdeführer die Flüchtlingseigenschaft nicht zuerkannt und das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vorliegend in Beachtung der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Überdies sind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die dem Beschwerdeführer im Heimatland droht (Art. 83 Abs. 3 AuG).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Asylsuchender nach der diesbezüglich konstanten Praxis grundsätzlich als zumutbar erachtet.</w:t>
      </w:r>
    </w:p>
    <w:p>
      <w:r>
        <w:rPr>
          <w:b/>
        </w:rPr>
        <w:t>E. 8.3.2</w:t>
      </w:r>
    </w:p>
    <w:p>
      <w:r>
        <w:t>Im Übrigen sind weder den Akten Hinweise auf individuelle Unzumutbarkeitsindizien zu entnehmen noch werden solche in der Beschwerdeschrift geltend gemacht. Es kann auf die zutreffenden vorinstanzlichen Erwägungen verwiesen werden.</w:t>
      </w:r>
    </w:p>
    <w:p>
      <w:r>
        <w:rPr>
          <w:b/>
        </w:rPr>
        <w:t>E. 8.3.3</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