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D-5406/2009 vom 14. April 2011</w:t>
      </w:r>
    </w:p>
    <w:p>
      <w:r>
        <w:t>Bundesverwaltungsgericht, 2011-04-14, DE</w:t>
      </w:r>
    </w:p>
    <w:p>
      <w:r>
        <w:rPr>
          <w:b/>
        </w:rPr>
        <w:t xml:space="preserve">Quelle: </w:t>
      </w:r>
      <w:r>
        <w:t>https://mcp.opencaselaw.ch/entscheid/bvger_D-5406_2009</w:t>
      </w:r>
    </w:p>
    <w:p>
      <w:r>
        <w:t>FR: TAF D-5406/2009 du 14 avril 2011</w:t>
      </w:r>
    </w:p>
    <w:p>
      <w:r>
        <w:t>IT: TAF D-5406/2009 del 14 aprile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 Demgegenüber hat die Vorinstanz die Frage der Wegweisung sowie deren Vollzugs materiell geprüft, weshalb dem Bundesver­waltungs­gericht einzig diesbezüglich volle Kognition zukommt.</w:t>
      </w:r>
    </w:p>
    <w:p>
      <w:r>
        <w:rPr>
          <w:b/>
        </w:rPr>
        <w:t>E. 3.2</w:t>
      </w:r>
    </w:p>
    <w:p>
      <w:r>
        <w:t>Nach Art. 34 Abs. 2 Bst. a AsylG wird auf ein Asylgesuch in der Regel nicht eingetreten, wenn Asylsuchende in einen sicheren Drittstaat nach Art. 6a Abs. 2 Bst. b AsylG zurückkehren können, in welchem sie sich vorher aufgehalten haben. Gemäss Art. 6a Abs. 2 Bst. b AsylG bezeichnet der Bundesrat Staaten als sichere Drittstaaten, in denen nach seinen Feststellungen effektiver Schutz vor Rückschiebung im Sinne von Art. 5 Abs. 1 AsylG besteht.</w:t>
      </w:r>
    </w:p>
    <w:p>
      <w:r>
        <w:rPr>
          <w:b/>
        </w:rPr>
        <w:t>E. 3.3</w:t>
      </w:r>
    </w:p>
    <w:p>
      <w:r>
        <w:t>Nach Art. 34 Abs. 3 AsylG findet Absatz 2 Bst. a der nämlichen gesetzlichen Bestimmung keine Anwendung, wenn Personen, zu denen die asylsuchende Person enge Beziehungen hat, oder nahe Angehörige in der Schweiz leben (Bst. a); wenn die asylsuchende Person offensichtlich die Flüchtlingseigenschaft nach Art. 3 AsylG erfüllt (Bst. b); wenn Hinweise darauf bestehen, dass im Drittstaat kein effektiver Schutz vor Rückschiebung nach Art. 5 Abs. 1 AsylG besteht.</w:t>
      </w:r>
    </w:p>
    <w:p>
      <w:r>
        <w:rPr>
          <w:b/>
        </w:rPr>
        <w:t>E. 4.1</w:t>
      </w:r>
    </w:p>
    <w:p>
      <w:r>
        <w:t>Im zu beurteilenden Fall ist vorab auf das zur Publikation bestimmte Grundsatzurteil des Bundesverwaltungsgerichts (BVGE) vom 14. Dezember 2010 i.S. D-7463/2009 zu verweisen. Aufgrund des Auslegungsergebnisses zu Art. 34 Abs. 2 Bst. a AsylG gelangt das Gericht im besagten Urteil zur Erkenntnis, dass die Ausnahmeklausel von Art. 34 Abs. 3 Bst. b der nämlichen gesetzlichen Bestimmung nicht greift, wenn die asylsuchende Person bereits in einem Drittstaat als Flüchtling anerkannt ist, dort asylrechtlichen oder vergleichbaren effektiven Schutz (im Sinne des Non-Refoulement-Gebots) geniesst und dorthin zurückkehren kann (vgl. BVGE D-7463/2009 E. 5.4. und 5.5.).</w:t>
      </w:r>
    </w:p>
    <w:p>
      <w:r>
        <w:rPr>
          <w:b/>
        </w:rPr>
        <w:t>E. 4.2</w:t>
      </w:r>
    </w:p>
    <w:p>
      <w:r>
        <w:t>Italien (und ebenso alle anderen EU- und EFTA- Staaten) sind am 14. De­zember 2007 vom Bundesrat als sichere Drittstaaten bezeichnet wor­den. Der Beschwerdeführer kann auch nach Italien als sicheren Drittstaat zurück­keh­ren, da dessen Behörden am 11. Juni 2009 gegenüber der Schweiz die Rückübernahme zugesichert haben (vgl. Bst. C hiervor). Alsdann ist unbestritten, dass der Beschwerdeführer in Italien als Flüchtling anerkannt worden ist. Ferner liegen weder nähere Anhaltspunkte vor noch liefert der Beschwerdeführer entsprechende konkrete, seine Per­son betreffende Hinweise für die Annahme, dass ihm im Falle einer Rückkehr nach Italien eine Verletzung des Non-Refoulement-Gebots droht, was für die Anwendung von Art. 34 Abs. 3 Bst. c AsylG ausreichen würde. Auch leben in der Schweiz keine nahen Ange­hörigen des Beschwerdeführers oder andere Personen, zu denen er eine enge Beziehung hätte. Mithin liegt keiner der in Art. 34 Abs. 3 AsylG genannten Gründe vor, wel­cher die Anwendung von Art. 34 Abs. 2 Bst. a AsylG im vorliegenden Fall ausschliessen würde. Der Vollständigkeit halber sei noch erwähnt, dass das schweizerische Asylrecht grundsätzlich keine dop­pelspurige Schutzgewährung zu einem Drittstaat vorsieht, sondern Art. 50 AsylG ein Zweitasyl einzig unter der Voraussetzung eines zwei­jäh­rigen, ordnungsgemässen und ununterbrochenen Aufenthaltes in der Schweiz zulassen will (vgl. auch Art. 2 und 4 der Europäische Vereinbarung vom 16. Oktober 1980 über den Übergang der Verantwortung für Flüchtlinge [SR 0.142.305]). Bei dieser Sachlage und in Berücksichtigung des Grundsatzurteils des Bundesverwaltungsgerichts (vgl. E. 4.1.) braucht auf die in diesem Zusammenhang in der Beschwerde und der Stellungnahme vom 5. Oktober 2009 gemachten Ausführungen nicht eingegangen zu werden.</w:t>
      </w:r>
    </w:p>
    <w:p>
      <w:r>
        <w:rPr>
          <w:b/>
        </w:rPr>
        <w:t>E. 4.3</w:t>
      </w:r>
    </w:p>
    <w:p>
      <w:r>
        <w:t>Zusammenfassend ergibt sich, dass die Vorinstanz im Ergebnis zu Recht in Anwendung von Art. 34 Abs. 2 Bst. a AsylG auf das Asyl­ge­such des Beschwerdeführers nicht eingetreten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EMARK 2001 Nr.21).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Im Übrigen gilt zu erwähnen, dass es im vorliegenden Fall einzig um den Vollzug der Wegweisung nach Italien (Drittstaat) geht, nicht aber um einen solchen in den Heimatstaat des Be­schwer­de­führers.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In casu erweist sich der Vollzug der Wegweisung in Beachtung der massgebenden völker- und landesrechtlichen Bestimmungen (insbesondere auch Art. 3 EMRK) zulässig, da der Beschwerdeführer in Italien offensichtlich nicht an Leib, Leben oder Freiheit gefährdet ist oder eine menschenrechtswidrige Behand­lung zu befürchten hat und er dort - wie bereits oben erkannt - Schutz vor Rückschiebung im Sinne von Art. 5 Abs. 1 AsylG findet.</w:t>
      </w:r>
    </w:p>
    <w:p>
      <w:r>
        <w:rPr>
          <w:b/>
        </w:rPr>
        <w:t>E. 6.3</w:t>
      </w:r>
    </w:p>
    <w:p>
      <w:r>
        <w:t>Gemäss Art. 83 Abs. 4 AuG kann der Vollzug für Ausländerinnen und Ausländer unzumutbar sein, wenn sie im Drittstaat konkret gefährdet sind. Weder die in Italien herrschende allgemeine Lage noch sonstige Grün­de sprechen gegen die Zumutbarkeit eines Wegweisungsvollzuges des Be­schwer­deführers dorthin. Eine Feststellung der Unzumutbarkeit bedarf ferner der begründeten Annahme einer konkreten und ernsthaften Gefährdung, mithin einer eigentlichen Not­lage. Mit den Ausführungen des Beschwerdeführers in der Rechtsmitteleingabe und der Stellungnahme vom 5. Oktober 2009 in diesem Zusammenhang wird nicht schlüssig darge­tan, dass der bloss tie­fere Sozial- und Betreuungsstandard für Schutzsuchende in Itali­en gegenüber der Schweiz zur Feststellung der Unzumutbarkeit des Wegwei­sungs­voll­zugs in dieses Land führen kann. Unter anderem kann zu diesem Aspekt auch auf die nicht zu beanstandenden Ausführungen in der dem Beschwerdeführer zur Replik gebrachten Vernehmlassung der Vorinstanz vom 24. September 2009 verwiesen werden (vgl. auch Bst. I hiervor). Nach dem Gesagten erweist sich der Vollzug der Wegweisung auch als zumutbar.</w:t>
      </w:r>
    </w:p>
    <w:p>
      <w:r>
        <w:rPr>
          <w:b/>
        </w:rPr>
        <w:t>E. 6.4</w:t>
      </w:r>
    </w:p>
    <w:p>
      <w:r>
        <w:t>Der Vollzug der Wegweisung des Beschwerdeführers nach Italien ist schliess­lich möglich, da keine konkreten Vollzugshindernisse ersicht­lich sind (Art. 83 Abs. 2 AuG) und die italienischen Behörden die Rück­übernahme zugesichert haben.</w:t>
      </w:r>
    </w:p>
    <w:p>
      <w:r>
        <w:rPr>
          <w:b/>
        </w:rPr>
        <w:t>E. 6.5</w:t>
      </w:r>
    </w:p>
    <w:p>
      <w:r>
        <w:t>Zusammenfassend hat die Vorinstanz den Wegweisungsvollzug zu Recht als zulässig, zumutbar und möglich erachtet.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In Berücksichtigung der Besonderheit des vorliegenden Falles ist in Anwendung von Art. 63 Abs. 1 in fine VwVG und Art. 6 Bst. b des Reglements vom 21. Februar 2008 über die Kosten und Entschädigungen vor dem Bundesverwaltungsgericht (VGKE, SR 173.320.2) auf die Auferlegung von Verfahrenskosten zu verzichten. Demnach ist das Gesuch um Gewährung der unentgeltlichen Rechtspflege im Sinne von Art. 65 Abs. 1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