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D-5404/2016 vom 30. September 2016</w:t>
      </w:r>
    </w:p>
    <w:p>
      <w:r>
        <w:t>Bundesverwaltungsgericht, 2016-09-30, DE</w:t>
      </w:r>
    </w:p>
    <w:p>
      <w:r>
        <w:rPr>
          <w:b/>
        </w:rPr>
        <w:t xml:space="preserve">Quelle: </w:t>
      </w:r>
      <w:r>
        <w:t>https://mcp.opencaselaw.ch/entscheid/bvger_D-5404_2016</w:t>
      </w:r>
    </w:p>
    <w:p>
      <w:r>
        <w:t>FR: TAF D-5404/2016 du 30 septembre 2016</w:t>
      </w:r>
    </w:p>
    <w:p>
      <w:r>
        <w:t>IT: TAF D-5404/2016 del 30 settembre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deren min­derjährige Kinder als Flüchtlinge anerkannt und erhalten Asyl, sofern keine beson­deren Umstände dagegen sprechen. Gemäss Art. 51 Abs. 4 AsylG ist den anspruchsberechtigten Personen nach Abs. 1 die Einreise auf Gesuch hin zu bewilligen, sofern sie sich im Ausland aufhalten und durch die Flucht getrennt wurden.</w:t>
      </w:r>
    </w:p>
    <w:p>
      <w:r>
        <w:rPr>
          <w:b/>
        </w:rPr>
        <w:t>E. 4.2</w:t>
      </w:r>
    </w:p>
    <w:p>
      <w:r>
        <w:t>Unter dem Begriff der minderjährigen Kinder im Sinne von Art. 51 Abs. 1 AsylG werden auch die Stief- und Adoptivkinder subsumiert, da die Norm nach ihrer ratio legis die Herstellung eines einheitlichen Rechtsstatus innerhalb der Kernfamilie bezweckt.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 (vgl. BVGE 2012/32 E. 5.1 und 2015/29 E. 3.2 sowie Entscheidungen und Mitteilungen der ARK [EMARK] 1997 Nr. 1 E. 5b und EMARK 2000 Nr. 22).</w:t>
      </w:r>
    </w:p>
    <w:p>
      <w:r>
        <w:rPr>
          <w:b/>
        </w:rPr>
        <w:t>E. 5.1</w:t>
      </w:r>
    </w:p>
    <w:p>
      <w:r>
        <w:t>Der Beschwerdeführer führte aus, nach dem Tod des Vaters seines Neffen und dem Wegzug von dessen Mutter habe er sich um diesen gekümmert. Er reichte auch eine Sorgerechtsverzichtserklärung der Mutter zu den Akten. Damit macht er geltend, es handle sich bei seinem Neffen um seinen Adoptivsohn. Das SEM prüfte das Gesuch des Beschwerdeführers daraufhin denn auch unter dem Aspekt eines Adoptionsverhältnisses. Im Folgenden gilt es deshalb zu prüfen, ob es sich bei B._______ im Sinne der erwähnten Rechtsprechung um den Adoptivsohn des Beschwerdeführers handelt.</w:t>
      </w:r>
    </w:p>
    <w:p>
      <w:r>
        <w:rPr>
          <w:b/>
        </w:rPr>
        <w:t>E. 5.2</w:t>
      </w:r>
    </w:p>
    <w:p>
      <w:r>
        <w:t>Wie das SEM richtig vorbrachte, erwähnte der Beschwerdeführer seinen Neffen B._______ an der Befragung mit keinem Wort, obwohl er ausführlich zu verschiedenen familiären Beziehungen Auskunft gab. Im Rahmen der Anhörung erwähnt der Beschwerdeführer dann zwar einen Neffen, der bei den Eltern wohne. Dass es sich dabei jedoch - wie das SEM anzunehmen scheint - um das vorliegend nachzuziehende Kind handelte, überzeugt nicht. So gab der Beschwerdeführer an, bei den Eltern wohne unter anderem der Sohn seines Halbbruders F._______ (vgl. A17, F36). Dieser heisse B._______, was jedoch im Rahmen der Rückübersetzung korrigiert wurde auf E._______. Im als Beweismittel eingereichten Schreiben der Mutter des vorliegend nachzuziehenden Neffen vom 21. Januar 2016 wird jedoch ausgeführt, dass B._______ der Sohn der Schwester des Beschwerdeführers (C._______) sei. Abgesehen davon, dass bereits die unterschiedlichen Namensangaben Zweifel erwecken, ist der Widerspruch, ob es sich nun um den Sohn des Halbbruders oder um den der Schwester handle, nicht nachvollziehbar. Wenn der Beschwerdeführer in seiner Beschwerde nun behauptet, E._______ sei der zweite Name von B._______, tut er dies offensichtlich, um den Anschein zu erwecken, er hätte B._______ bereits an der Anhörung erwähnt. Dies vermag den Widerspruch in Bezug auf die Familienbeziehungen jedoch nicht aufzulösen.</w:t>
      </w:r>
    </w:p>
    <w:p>
      <w:r>
        <w:rPr>
          <w:b/>
        </w:rPr>
        <w:t>E. 5.3</w:t>
      </w:r>
    </w:p>
    <w:p>
      <w:r>
        <w:t>Aus dem Schreiben der Mutter von B._______ vom 21. Januar 2016 geht weiter hervor, dass sie nach dem Tod ihres ersten Ehemannes mit ihrem Sohn bei ihren Eltern gelebt hat. Sie gibt zudem an, dass sie ihn mit fünf Jahren in die Obhut ihrer Eltern gegeben hat, weil sie zu ihrem zweiten Ehemann gezogen ist. Erst mit der Ausreise des Sohnes aus Eritrea sei die Obhut auf ihren Bruder (den Beschwerdeführer) übergegangen. Angesichts der Tatsache, dass der Beschwerdeführer seinen Neffen B._______ während des ganzen Verfahrens nie erwähnt hat, und angesichts der Aussagen von dessen Mutter ist nicht davon auszugehen, dass B._______ unter der Obhut seines Onkels gestanden hat. Dies wird auch dadurch bestätigt, dass der Beschwerdeführer über seinen Aufenthaltsort vor seiner Ausreise unterschiedliche Angaben macht. So führt er anlässlich der Befragung aus, er habe zusammen mit seiner Ehefrau im gleichen Haushalt mit seinen Eltern und weiteren Familienangehörigen gelebt (A5, S. 5). Demgegenüber gibt er anlässlich der Anhörung an, seine Ehefrau sei erst nach seiner Ausreise zu seinen Eltern gezogen (A17, F32f.). Insgesamt kann aufgrund dieser Ausführungen nicht von einem Adoptivverhältnis zwischen B._______ und dem Beschwerdeführer und seiner Ehefrau ausgegangen werden. An dieser Einschätzung ändert schliesslich auch der Umstand nichts, dass die Eltern des Beschwerdeführers alt seien und sich nicht mehr um den Neffen kümmern könnten, ist doch der Zweck der Bestimmung von Art. 51 Abs. 4 AsylG alleine die Wiedervereinigung von vorbestandenen Familiengemeinschaften. Zudem gilt es hervorzuheben, dass im gleichen Haushalt mit den Eltern noch andere Geschwister des Beschwerdeführers leben und dass vor allem auch die leibliche Mutter von B._______ und weitere Geschwister in Eritrea leben. Selbstverständlich kann der Junge schliesslich weder alleine in Äthiopien bleiben noch alleine nach Eritrea zurückkehren. Um dessen Verbleib oder dessen Rückkehr zu seiner Familie muss aber diese bekümmert sein.</w:t>
      </w:r>
    </w:p>
    <w:p>
      <w:r>
        <w:rPr>
          <w:b/>
        </w:rPr>
        <w:t>E. 5.4</w:t>
      </w:r>
    </w:p>
    <w:p>
      <w:r>
        <w:t>Der Neffe des Beschwerdeführers kann somit nicht als Adoptivsohn behandelt werden und fällt nicht unter Art. 51 Abs. 1 AsylG. Das SEM hat somit zu Recht das Gesuch um Bewilligung der Einreise in die Schweiz und Einbezug in die Flüchtlingseigenschaft gemäss Art. 51 Abs. 1 und 4 AsylG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mit der Beschwerde gestellte Gesuch um unentgeltliche Prozessführung im Sinne von Art. 65 Abs. 1 VwVG ist angesichts der Aussichtslosigkeit der 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