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D-539/2019 vom 12. November 2019</w:t>
      </w:r>
    </w:p>
    <w:p>
      <w:r>
        <w:t>Bundesverwaltungsgericht, 2019-11-12, DE</w:t>
      </w:r>
    </w:p>
    <w:p>
      <w:r>
        <w:rPr>
          <w:b/>
        </w:rPr>
        <w:t xml:space="preserve">Quelle: </w:t>
      </w:r>
      <w:r>
        <w:t>https://mcp.opencaselaw.ch/entscheid/bvger_D-539_2019</w:t>
      </w:r>
    </w:p>
    <w:p>
      <w:r>
        <w:t>FR: TAF D-539/2019 du 12 novembre 2019</w:t>
      </w:r>
    </w:p>
    <w:p>
      <w:r>
        <w:t>IT: TAF D-539/2019 del 12 novembre 2019</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a108 Abs. 2 AsylG und Art. 52 Abs. 1 VwVG).</w:t>
      </w:r>
    </w:p>
    <w:p>
      <w:r>
        <w:rPr>
          <w:b/>
        </w:rPr>
        <w:t>E. 2</w:t>
      </w:r>
    </w:p>
    <w:p>
      <w:r>
        <w:t>Für das vorliegende Verfahren gilt das bisherige Recht (vgl. Abs. 1 der Übergangsbestimmungen zur Änderung des AsylG vom 25. September 2015).</w:t>
      </w:r>
    </w:p>
    <w:p>
      <w:r>
        <w:rPr>
          <w:b/>
        </w:rPr>
        <w:t>E. 3</w:t>
      </w:r>
    </w:p>
    <w:p>
      <w:r>
        <w:t>3.1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3.2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3.3</w:t>
      </w:r>
    </w:p>
    <w:p>
      <w:r>
        <w:t>Die Beschwerde ist aufgrund der vorliegenden Aktenlage - wie nachfolgend aufgezeigt - als offensichtlich begründet zu erkennen, weshalb über diese in einzelrichterlicher Zuständigkeit mit Zustimmung eines zweiten Richters beziehungsweise einer zweiten Richterin zu entscheiden ist (Art. 111 Bst. e AsylG). Der Entscheid ist deshalb nur summarisch zu begründen (Art. 111a Abs. 2 AsylG). Gestützt auf Art. 111a Abs. 1 AsylG wurde auf einen Schriftenwechsel verzichtet.</w:t>
      </w:r>
    </w:p>
    <w:p>
      <w:r>
        <w:rPr>
          <w:b/>
        </w:rPr>
        <w:t>E. 4</w:t>
      </w:r>
    </w:p>
    <w:p>
      <w:r>
        <w:t>Das SEM gelangte in seiner Verfügung vom 22. Januar 2019 unter Hinweis auf das Urteil des Bundesverwaltungsgericht F-8337/2015 vom 21. Juni 2017 (publiziert als BVGE 2017 VII/8) zum Ergebnis, dass gemäss dieser Rechtsprechung die Voraussetzungen für den Einbezug der Beschwerdeführenden in die Flüchtlingseigenschaft ihres in der Schweiz als Flüchtling vorläufig aufgenommenen Ehegatten respektive Vaters «grundsätzlich» nicht gegeben seien. In analoger Anwendung des publizierten Urteils trat das SEM auf das entsprechende Gesuch der Beschwerdeführenden «mangels rechtlicher Voraussetzungen» nicht ein. Im Übrigen prüfte das SEM den Wegweisungsvollzug materiell.</w:t>
      </w:r>
    </w:p>
    <w:p>
      <w:r>
        <w:rPr>
          <w:b/>
        </w:rPr>
        <w:t>E. 5.1</w:t>
      </w:r>
    </w:p>
    <w:p>
      <w:r>
        <w:t>Diese Vorgehensweise des SEM erweist sich aus den nachfolgenden Gründen als unrichtig.</w:t>
      </w:r>
    </w:p>
    <w:p>
      <w:r>
        <w:rPr>
          <w:b/>
        </w:rPr>
        <w:t>E. 5.2</w:t>
      </w:r>
    </w:p>
    <w:p>
      <w:r>
        <w:t>Zwar kam das Bundesverwaltungsgericht in dem vom SEM zitierten Entscheid BVGE 2017 VII/8 zum Ergebnis, dass die familienspezifischen Bestimmungen des Asylrechts in ausländerrechtlichen Fällen nicht mehr anwendbar seien. Indes hat das Bundesverwaltungsgericht diese Rechtsprechung präzisiert. Im Grundsatzurteil BVGE 2017 VI/4 vom 17. August 2017 hat das Gericht Art. 51 Abs. 1 AsylG ausgelegt. Es hielt fest, dass gemäss Rechtsprechung der ehemaligen Asylrekurskommission (ARK) zur Vorgängerregelung von Art. 51 Abs. 1 AsylG (Art. 3 Abs. 3 und Art. 7 Abs. 1 des am 1. Oktober 1999 aufgehobenen [AS 1999 2262] Asylgesetzes vom 5. Oktober 1979) Art. 3 Abs. 3 aAsylG im Interesse eines einheitlichen Rechtsstatus für Familien auf vorläufig aufgenommene Flüchtlinge anwendbar sei. Ferner würden sich aufgrund des revidierten Art. 51 AsylG keine Änderungen an der bisherigen Rechtslage gemäss Art. 3 Abs. 3 und Art. 7 aAsylG ergeben (BVGE 2017 VI/4 E.4). Diese Praxis des Bundesverwaltungsgerichts, wonach Art. 51 Abs. 1 AsylG auch beim Einbezug von in der Schweiz anwesenden Familienmitgliedern von vorläufig aufgenommenen Flüchtlingen zur Anwendung kommt, hat nach wie vor Geltung (vgl. Urteil des Bundesverwaltungsgerichts E-5669/2016 vom 18. Januar 2019 E. 4.1). Aufgrund dieser klaren Rechtslage wäre das SEM gehalten gewesen, das Gesuch der Beschwerdeführenden um Einbezug in die Flüchtlingseigenschaft ihres Ehegatten respektive Vaters D._______ materiell zu prüfen, weshalb sich der Nichteintretensentscheid vom 22. Januar 2019 als ungerechtfertigt erweist.</w:t>
      </w:r>
    </w:p>
    <w:p>
      <w:r>
        <w:rPr>
          <w:b/>
        </w:rPr>
        <w:t>E. 5.3</w:t>
      </w:r>
    </w:p>
    <w:p>
      <w:r>
        <w:t>Das SEM ist demnach zu Unrecht auf das Gesuch der Beschwerdeführenden um Einbezug in die Flüchtlingseigenschaft ihres Ehegatten respektive Vaters D._______ nicht eingetreten und hat damit Bundesrecht verletzt. 6.Nach dem Gesagten ist die Verfügung des SEM vom 22. Januar 2019 - in Gutheissung der Beschwerde - aufzuheben und die Sache zur materiellen Prüfung an das SEM zurückzuweisen.</w:t>
      </w:r>
    </w:p>
    <w:p>
      <w:r>
        <w:rPr>
          <w:b/>
        </w:rPr>
        <w:t>E. 7.1</w:t>
      </w:r>
    </w:p>
    <w:p>
      <w:r>
        <w:t>Bei diesem Ausgang des Verfahrens sind keine Kosten zu erheben (Art. 63 Abs. 1 und 2 VwVG).</w:t>
      </w:r>
    </w:p>
    <w:p>
      <w:r>
        <w:rPr>
          <w:b/>
        </w:rPr>
        <w:t>E. 7.2</w:t>
      </w:r>
    </w:p>
    <w:p>
      <w:r>
        <w:t>Den rechtsvertretenen Beschwerdeführenden ist angesichts ihres Obsiegens betreffend den Kassationsantrag in Anwendung von Art. 64 VwVG und Art. 7 Abs. 1 des Reglements vom 21. Februar 2008 über die Kosten und Entschädigungen vor dem Bundesverwaltungsgericht (VGKE, SR 173.320.2) eine durch das SEM auszurichtende Entschädigung für die ihnen notwendigerweise erwachsenen Parteikosten zuzusprechen. Der Rechtsvertreter reichte am 30. Januar 2019 eine Kostennote ein (Beilage zu BVGer-act. 2). Demnach beliefen sich seine Bemühungen im Zusammenhang mit der Verfassung und Einreichung der Beschwerde auf 8 Stunden; der geltend gemachte Stundenansatz liegt bei Fr. 250.-. Zusätzlich werden Auslagen in der Höhe von Fr. 11.30 und Mehrwertsteuer in der Höhe von Fr. 154. - aufgeführt. Dieser Aufwand erscheint als nicht vollumfänglich notwendig, weshalb er zu kürzen ist. Insgesamt ist von einem notwendigen Aufwand von fünf Stunden auszugehen. Ausgehend von einem Stundenansatz von Fr. 250.- bemessen sich das Honorar somit auf Fr. 1'250.- und die Mehrwertsteuer auf Fr. 96.25. Somit ist die Parteientschädigung (inkl. Auslagen) auf aufgerundet insgesamt Fr. 1360.- festzulegen (vgl. Art. 12 und Art. 14 Abs. 2 des Reglements vom 21. Februar 2008 über die Kosten und Entschädigungen vor dem Bundesverwaltungsgericht (VGKE, SR 173.320.2).</w:t>
      </w:r>
    </w:p>
    <w:p>
      <w:r>
        <w:rPr>
          <w:b/>
        </w:rPr>
        <w:t>E. 7.3</w:t>
      </w:r>
    </w:p>
    <w:p>
      <w:r>
        <w:t>Die Gesuche um Gewährung der unentgeltlichen Prozessführung und der unentgeltlichen Rechtsverbeiständung sowie um Verzicht auf die Erhebung eines Kostenvorschusses werden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