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D-5393/2016 vom 20. September 2016</w:t>
      </w:r>
    </w:p>
    <w:p>
      <w:r>
        <w:t>Bundesverwaltungsgericht, 2016-09-20, DE</w:t>
      </w:r>
    </w:p>
    <w:p>
      <w:r>
        <w:rPr>
          <w:b/>
        </w:rPr>
        <w:t xml:space="preserve">Quelle: </w:t>
      </w:r>
      <w:r>
        <w:t>https://mcp.opencaselaw.ch/entscheid/bvger_D-5393_2016</w:t>
      </w:r>
    </w:p>
    <w:p>
      <w:r>
        <w:t>FR: TAF D-5393/2016 du 20 septembre 2016</w:t>
      </w:r>
    </w:p>
    <w:p>
      <w:r>
        <w:t>IT: TAF D-5393/2016 del 20 settembre 2016</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Der Beschwerdeführer ist als Verfügungsadressat zur Beschwerdeführung legitimiert (Art. 48 Abs. 1 VwVG). Auf die frist- und - mit Ausnahme der Einreichung der Rechtsmitteleingabe nicht in einer Amtssprache - formgerecht eingereichte Beschwerde (Art. 108 Abs. 2 AsylG und Art. 52 Abs. 1 VwVG) ist einzutreten.</w:t>
      </w:r>
    </w:p>
    <w:p>
      <w:r>
        <w:rPr>
          <w:b/>
        </w:rPr>
        <w:t>E. 1.2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 vgl. BVGE 2014/26 E. 5).</w:t>
      </w:r>
    </w:p>
    <w:p>
      <w:r>
        <w:rPr>
          <w:b/>
        </w:rPr>
        <w:t>E. 1.3</w:t>
      </w:r>
    </w:p>
    <w:p>
      <w:r>
        <w:t>Auf den Antrag auf Wiederherstellung der aufschiebenden Wirkung ist mangels aktuellen Rechtsschutzinteresses nicht einzutreten, da der Beschwerde von Gesetzes wegen aufschiebende Wirkung zukommt (Art. 42 AsylG; Art. 55 Abs. 1 VwVG) und diese von der Vorinstanz nicht entzogen wurde (Art. 55 Abs. 2 VwVG; vgl. Dispositiv der angefochtenen Verfügung).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damit, der Beschwerdeführer habe die Motivation zur Zusammenarbeit mit einer Privatperson unter den vorgebrachten ungewöhnlichen Umständen nicht überzeugend dargelegt. Er habe zudem die Situationen, die er anscheinend erlebt habe, nicht substanziiert und erlebnisbasiert wiedergeben können. Es sei nicht klar, warum es die einzelnen Akteure auf ihn hätten absehen sollen. Seine Aussagen zu den angeblichen Verfolgern beruhten auf Mutmassungen und Spekulationen. Eine Konversion zum Christentum aus innerer Überzeugung könne nicht geglaubt werden, da er eine diesbezügliche Motivation nicht einleuchtend habe darlegen können, zumal er nie ein Interesse für Religion gehabt habe. Deshalb hätten die eingereichte Taufurkunde und der Videofilm seiner Taufe keinen Beweiswert. Es geben keine Hinweise darauf, dass er bei einer Rückkehr in den Iran den christlichen Glauben ausleben und deswegen staatlichen Repressionen ausgesetzt würde.</w:t>
      </w:r>
    </w:p>
    <w:p>
      <w:r>
        <w:rPr>
          <w:b/>
        </w:rPr>
        <w:t>E. 4.2</w:t>
      </w:r>
    </w:p>
    <w:p>
      <w:r>
        <w:t>In seiner Rechtsmitteleingabe führte der Beschwerdeführer an, falls er sich in seinem Heimatland unbehelligt aufhalten könnte und nicht bedroht würde, hätte er nicht so vieles auf sich nehmen müssen. Die Menschenrechtsverletzungen und die Situation in den iranischen Gefängnissen seien bekannt. Aufgrund seiner Konvertierung zum Christentum würde er mit Sicherheit mit dem Tode bestraft. Sodann sei ihm nicht ersichtlich, aus welchem Grund sein Asylgesuch abgelehnt worden sei, und er verlange von den Behörden die Gutheissung seines Asylgesuchs.</w:t>
      </w:r>
    </w:p>
    <w:p>
      <w:r>
        <w:rPr>
          <w:b/>
        </w:rPr>
        <w:t>E. 4.3</w:t>
      </w:r>
    </w:p>
    <w:p>
      <w:r>
        <w:t>Die sinngemässe Rüge eines Verfahrensmangels - fehlerhafte Eröffnung der vorinstanzlichen Verfügung - kann nicht gehört werden. So geht aus den Akten hervor, dass ihm die Verfügung am 31. August 2016 um 16:30 Uhr eröffnet und auf Farsi übersetzt wurde. Die entsprechende Bestätigung wurde sowohl vom Dolmetscher, dem Beamten der Kantonspolizei D._______ sowie vom Beschwerdeführer selbst unterzeichnet (vgl. A 27/1). Demzufolge stösst seine pauschale Behauptung, wonach ihm nicht ersichtlich sei, aus welchem Grund sein Asylgesuch abgelehnt worden sei, ins Leere und ist als blosse Schutzbehauptung zu werten.</w:t>
      </w:r>
    </w:p>
    <w:p>
      <w:r>
        <w:rPr>
          <w:b/>
        </w:rPr>
        <w:t>E. 4.4</w:t>
      </w:r>
    </w:p>
    <w:p>
      <w:r>
        <w:t>Sodann sind auch die weiteren Vorbringen in der Beschwerdeschrift nicht ansatzweise geeignet, zu einer von der Vorinstanz abweichenden Beurteilung zu führen. Sie erschöpfen sich in rudimentären Behauptungen zum Sachverhalt und sind mangels Auseinandersetzung mit der vorin­stanzlichen Argumentation, insbesondere den festgestellten Unglaubhaftigkeitsmerkmalen, nicht geeignet, die Erwägungen in der angefochtenen Verfügung als unzutreffend erscheinen zu lassen. Aus den Aussagen des Beschwerdeführers ist ohnehin nicht ersichtlich, inwiefern er im Zusammenhang mit seinen Tätigkeiten für eine Privatperson aus einem Grund nach Art. 3 AsylG verfolgt worden sein soll oder eine solche Verfolgung zu befürchten hätte. Die Vorinstanz qualifizierte die angebliche Konversion zum Christentum zu Recht als unglaubhaft. So antwortete der Beschwerdeführer beispielsweise auf die Frage nach dem Unterschied zwischen Protestanten und Katholiken, dass er sich diesbezüglich nicht informiert habe, aber wisse, dass sie sich bekreuzigen würden. Wie er dazu gekommen sei, sich für diese Religion zu interessieren, erklärte er damit, dass er keine besondere Motivation gehabt habe, aber beim ersten Kirchenbesuch habe ihm dies "so gut getan", dass es ihn überzeugt habe (vgl. A 19/34 S. 29). Sodann befremdet seine Aussage, wonach er eigentlich nicht geplant habe, seine Konvertierung im Rahmen das Asylverfahrens zu thematisieren, weshalb er auch nicht vorbereitet gewesen sei, die entsprechenden Fragen zu beantworten (vgl. A 19/34 S. 27). Seine vagen, unsubstanziierten Angaben zu den Beweggründen seiner Konvertierung zum Christentum vermögen nicht zu überzeugen und hinterlassen den Eindruck eines Konstrukts. Die erstmals auf Beschwerdeebene genannte Bedrohungslage aufgrund seiner Konvertierung ist deshalb als nachgeschoben zu werten und vermag zu keiner anderen Betrachtungsweise zu führen. Zudem ist nicht ersichtlich, dass sein heimatliches Umfeld von der geltend gemachten Konversion in Griechenland erfuhr. In Anbetracht seiner sehr rudimentären Kenntnisse des Christentums ist auch nicht davon auszugehen, er werde im Iran missionarisch tätig werden (vgl. BVGE 2009/28 E. 7.4.2). Im Weiteren kann auf die ausführlichen Erwägungen in der angefochtenen Verfügung verwiesen werden, worin weitere Unglaubhaftigkeitsmerkmale zur angeblichen Konversion des Beschwerdeführers aufgeführt werden. In Anbetracht dieser Sachlage kommt den diesbezüglich eingereichten Beweismitteln (Taufurkunde, Videoaufnahme) kein Beweiswert zu.</w:t>
      </w:r>
    </w:p>
    <w:p>
      <w:r>
        <w:rPr>
          <w:b/>
        </w:rPr>
        <w:t>E. 4.5</w:t>
      </w:r>
    </w:p>
    <w:p>
      <w:r>
        <w:t>Zusammenfassend ist somit festzuhalten, dass es dem Beschwerde­füh­rer nicht gelungen ist, eine im Sinne von Art. 3 AsylG relevante Verfolgungsgefahr nachzu­weisen oder glaubhaft darzutun. Die Vorinstanz hat sein Asylgesuch demzufolge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in den Iran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aufgrund von Situationen wie Krieg, Bürgerkrieg, allgemeiner Gewalt und medizinischer Notlage konkret gefährdet sind. Die im Iran herrschende allgemeine Lage zeichnet sich nicht durch eine Situation allgemeiner Gewalt aus, obwohl die Staatsordnung als totalitär zu bezeichnen ist und die allgemeine Situation in verschiedener Hinsicht problematisch sein kann (statt vieler Urteil des BVGer E-3966/2015 vom 24. Februar 2016 E. 7.2). Selbst unter Berücksichtigung dieser Umstände wird der Vollzug von Wegweisungen in den Iran nach konstanter Praxis als zumutbar erachtet. Der junge und - soweit aktenkundig - gesunde Beschwerdeführer verfügt im Iran über eine familiäres und soziales Beziehungsnetz, hat eine gute Schulbildung und verfügt über mehrjährige Berufserfahrung in den Bereichen Bau, Landwirtschaft, Hausdienst und Kurierdienst.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und Art. 49 VwVG). Die Beschwerde ist abzuweisen, soweit darauf einzutreten ist.</w:t>
      </w:r>
    </w:p>
    <w:p>
      <w:r>
        <w:rPr>
          <w:b/>
        </w:rPr>
        <w:t>E. 8</w:t>
      </w:r>
    </w:p>
    <w:p>
      <w:r>
        <w:t>Die Kosten von insgesamt Fr. 600.- sind dem Beschwerdeführer aufzuerlegen (Art. 63 Abs. 1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