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D-5392/2010 vom 30. August 2010</w:t>
      </w:r>
    </w:p>
    <w:p>
      <w:r>
        <w:t>Bundesverwaltungsgericht, 2010-08-30, DE</w:t>
      </w:r>
    </w:p>
    <w:p>
      <w:r>
        <w:rPr>
          <w:b/>
        </w:rPr>
        <w:t xml:space="preserve">Quelle: </w:t>
      </w:r>
      <w:r>
        <w:t>https://mcp.opencaselaw.ch/entscheid/bvger_D-5392_2010</w:t>
      </w:r>
    </w:p>
    <w:p>
      <w:r>
        <w:t>FR: TAF D-5392/2010 du 30 août 2010</w:t>
      </w:r>
    </w:p>
    <w:p>
      <w:r>
        <w:t>IT: TAF D-5392/2010 del 30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Der Beschwerdeführer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der Akten erweisen sich die vorinstanzlichen Erwägungen als zutreffend. Zur Vermeidung von Wiederholungen kann daher vorab auf die nicht zu beanstandenden Ausführungen des BFM verwiesen werden. Der Rechtsmitteleingabe sind keine stichhaltigen Entgegnungen zu entnehmen, die die Argumentation des BFM in Zweifel zu ziehen vermöchten. Dem Beschwerdeführer wurde bereits mit Zwischenverfügung vom 4. August 2010 dargelegt, weshalb seine Vorbringen in der Beschwerde - da aussichtslos - keine Änderung in der Frage der Flüchtlingseigenschaft (und Durchführbarkeit des Wegweisungsvollzugs) zu bewirken vermögen. Eine Änderung der Sachlage ist seither nicht eingetreten, so dass ebenfalls auf die Ausführungen in der besagten Zwischenverfügung verwiesen werden kann.</w:t>
      </w:r>
    </w:p>
    <w:p>
      <w:r>
        <w:rPr>
          <w:b/>
        </w:rPr>
        <w:t>E. 5.2</w:t>
      </w:r>
    </w:p>
    <w:p>
      <w:r>
        <w:t>Der Einschätzung des BFM, an der vom Beschwerdeführer geltend gemachten behördliche Suche einzig aufgrund seiner kurdischen Ethnie - unter dem Vorwand des Verdachts terroristischer Propaganda - bestünden ernsthafte Zweifel, ist beizupflichten. Eine Überprüfung der Akten ergibt, dass die diesbezüglichen Vorbringen des Beschwerdeführers nicht zu überzeugen vermögen. Das BFM hat sie aus zutreffenden Gründen als den Anforderungen an die Glaubhaftigkeit nicht genügend qualifiziert. Gemäss eigenen Angaben war der Beschwerdeführer nie politisch aktiv, beschäftigte sich bisher nicht mit der Politik, betrieb keine Propaganda, hatte mit der PKK nichts zu tun, hatte nie Schwierigkeiten mit den Behörden und war nie in ein Gerichtsverfahren verwickelt (vgl. A6 S. 2 f.). Zum Motiv, weshalb die Behörden dennoch - unter einem falschen Vorwand - plötzlich nach ihm gesucht hätten, brachte der Beschwerdeführer nur Pauschalplätze vor (vgl. A6 S. 2 F6: "Ich bin Kurde. Denen kann man so was leicht vorwerfen"; A6 S. 2 F7: "Kurden sind nicht erwünscht"). Diese Begründung vermag nicht zu überzeugen. Eine asylrelevante Verfolgung allein aufgrund der kurdischen Ethnie (vgl. A6 S. 3 F19), mithin ohne konkreten Anlass wie beispielsweise die Teilnahme an einer Demonstration, ist - in Übereinstimmung mit der Vorinstanz - auszuschliessen. Mithin sind auch die Erklärungen in der Beschwerde nicht geeignet, die diesbezüglichen Vorbringen des Beschwerdeführers in einem glaubhafteren Licht erscheinen zu lassen beziehungsweise zu einer vom BFM abweichenden Beurteilung zu führen. Soweit der Beschwerdeführer geltend machte, er hätte in den Militärdienst einrücken müssen, ist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Entscheidungen und Mitteilungen der Schweizerischen Asylrekurskommission [EMARK] 2004 Nr. 2 E. 6b.aa S. 16). Als flüchtlingsrechtlich relevant gilt eine Bestrafung dann, wenn der Wehrpflichtige aus einem Grund nach Art. 3 AsylG mit einer höheren Strafe zu rechnen hat (sog. Politmalus).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 Da der Beschwerdeführer kein eigenes politisches Profil aufweist, besteht kein Grund zur Annahme, dass ein allfälliges Verfahren gegen ihn aus anderen als militärstrafrechtlichen Gründen angehoben und er härter als andere Dienstverweigerer bestraft würde. Die Wahrscheinlichkeit, dass kurdische Soldaten während des obligatorischen Militärdienstes gegen Angehörige ihrer eigenen Ethnie eingesetzt werden, ist sehr gering; jedenfalls geschieht dies nicht auf systematische Weise. Es liegt somit auch in dieser Hinsicht keine objektiv begründete Furcht vor Verfolgung vor. Schliesslich vermag auch der Hinweis auf die allgemein schwierige wirtschaftliche Lage - insbesondere hinsichtlich der Arbeitsmarktsituation - den Anforderungen an eine asylrelevante begründete, individuelle Verfolgung im Sinne von Art. 3 AsylG nicht zu genügen, zumal der Beschwerdeführer gemäss eigenen Angaben in D._______ über eine Arbeitsstelle verfügte.</w:t>
      </w:r>
    </w:p>
    <w:p>
      <w:r>
        <w:rPr>
          <w:b/>
        </w:rPr>
        <w:t>E. 5.3</w:t>
      </w:r>
    </w:p>
    <w:p>
      <w:r>
        <w:t>Der Beschwerdeführer konnte somit keine Verfolgung im Sinne von Art. 3 AsylG nachweisen oder zumindest glaubhaft machen. Er erfüllt daher die Flüchtlingseigenschaft nicht, weshalb das BFM das Asylgesuch zu Recht abgewiesen hat.</w:t>
      </w:r>
    </w:p>
    <w:p>
      <w:r>
        <w:rPr>
          <w:b/>
        </w:rPr>
        <w:t>E. 6.1</w:t>
      </w:r>
    </w:p>
    <w:p>
      <w:r>
        <w:t>Lehnt das Bundesamt das Asylgesuch ab oder tritt es darauf nicht ein, so verfügt es in der Regel die Wegweisung aus der Schweiz (Art. 44 Abs. 1 AsylG). Gemäss Art. 32 Bst. a der Asylverordnung 1 über Verfahrensfragen vom 11. August 1999 (AsylV 1, SR 142.311) wird die Wegweisung nicht verfügt, wenn die asylsuchende Person im Besitz einer gültigen Aufenthalts- oder Niederlassungsbewilligung ist.</w:t>
      </w:r>
    </w:p>
    <w:p>
      <w:r>
        <w:rPr>
          <w:b/>
        </w:rPr>
        <w:t>E. 6.2</w:t>
      </w:r>
    </w:p>
    <w:p>
      <w:r>
        <w:t>Der Beschwerdeführer verfügt bis zum jetzigen Zeitpunkt weder über eine ausländerrechtliche Aufenthaltsbewilligung noch über einen Anspruch auf Erteilung einer solchen. Die Wegweisung steht somit im Einklang mit den gesetzlichen Bestimmungen und wurde demnach zu Recht angeordnet (vgl. EMARK 2001 Nr. 21). Die auf Beschwerdeebene geäusserte Heiratsabsicht vermag daran nichts zu ändern. Eine Sistierung des vorliegenden Verfahrens ist nicht angezeigt, weshalb der entsprechende Subeventualantrag des Beschwerdeführers abzuweisen ist.</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 Anwendung gelangen.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EMARK 2001 Nr. 16 S. 122). Dies ist vorliegend - unter Verweis auf die Ausführungen zum Asylpunkt - nicht der Fall. Es kann nicht davon ausgegangen werden, dass Soldaten kurdischer Abstammung in der türkischen Armee generell einer menschenrechtswidrigen Behandlung ausgesetzt würden. Auch die allgemeine Menschenrechtssituation in der Türkei lässt den Wegweisungsvollzug nicht als unzulässig erscheinen.</w:t>
      </w:r>
    </w:p>
    <w:p>
      <w:r>
        <w:rPr>
          <w:b/>
        </w:rPr>
        <w:t>E. 7.1.3</w:t>
      </w:r>
    </w:p>
    <w:p>
      <w:r>
        <w:t>Art. 8 EMRK garantiert die Achtung des Familienlebens. Entsprechend ist beim Wegweisungsvollzug der Grundsatz der Einheit der Familie zu berücksichtigen (Art. 44 Abs. 1 AsylG). Voraussetzung ist ein tatsächlich bestehendes Familienleben; wesentliche Faktoren sind die Länge und Stabilität der Beziehung, der gemeinsame Haushalt und die finanzielle Verflochtenheit der Partner (vgl. Christoph Grabenwarter, Europäische Menschenrechtskonvention, 4. Aufl., München/Basel/Wien 2009, S. 204). Vorliegend hat der Beschwerdeführer, der sich seit dem 13. Juni 2010 in der Schweiz aufhält, seine Verlobte gemäss eigenen Angaben erst nach der Einreise und somit erst vor Kurzem kennengelernt. Im Rahmen der Anhörung vom 24. Juni 2010 hat er sie noch nicht einmal erwähnt. Den Akten lässt sich auch nicht entnehmen, er hätte zwischenzeitlich ein Gesuch um Kantonswechsel - vom Zuweisungskanton F._______ in den Wohnkanton der Freundin (Kanton G._______) - gestellt. Aufgrund der Aktenlage kann somit nicht davon gesprochen werden, der Beschwerdeführer habe mit seiner Verlobten in einer dauerhaften, eheähnlichen Gemeinschaft gelebt. Art. 8 EMRK steht somit einem Wegweisungsvollzug nicht entgegen. Der Wegweisungsvollzug stellt auch keinen unzulässigen Eingriff in das Recht auf Eheschliessung gemäss Art. 12 EMRK dar, zumal die Weiterführung des Ehevorbereitungsverfahrens nicht zwingend die Anwesenheit des Beschwerdeführers in der Schweiz voraussetzt (vgl. Art. 62 ff. der Zivilstandsverordnung vom 28. April 2004 [ZStV, SR 211.112.2]). Zudem bestehen keine Anhaltspunkte dafür, dass die Heiratspläne nicht auch ausserhalb der Schweiz - beispielsweise im Heimatland des Beschwerdeführers, wo die Partnerin als Schweizer Bürgerin ohne Weiteres einreisen könnte - verwirklicht werden könnten.</w:t>
      </w:r>
    </w:p>
    <w:p>
      <w:r>
        <w:rPr>
          <w:b/>
        </w:rPr>
        <w:t>E. 7.1.4</w:t>
      </w:r>
    </w:p>
    <w:p>
      <w:r>
        <w:t>Der Vollzug der Wegweisung ist damit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In der Türkei herrscht keine Situation allgemeiner Gewalt, weshalb der Wegweisungsvollzug dorthin als generell zumutbar zu bezeichnen ist.</w:t>
      </w:r>
    </w:p>
    <w:p>
      <w:r>
        <w:rPr>
          <w:b/>
        </w:rPr>
        <w:t>E. 7.2.2</w:t>
      </w:r>
    </w:p>
    <w:p>
      <w:r>
        <w:t>In den Akten finden sich auch keine konkreten Anhaltspunkte dafür, dass der junge und soweit aktenkundig gesunde Beschwerdeführer aus individuellen Gründen wirtschaftlicher, sozialer oder gesundheitlicher Natur in eine existenzbedrohende Situation geraten würde. Er hat bis zu seiner Ausreise immer in der Türkei gelebt und ist somit mit den dortigen Verhältnissen bestens vertraut. Mit seinen (Aufzählung Angehörige) verfügt er im Heimatland über ein familiäres Beziehungsnetz (vgl. A1 S. 3). Überdies hat er gemäss eigenen Angaben die (Schule) abgeschlossen und vor der Ausreise in einem (Betrieb) in D._______ gearbeitet (vgl. A1 S. 2). Es ist somit nicht davon auszugehen, er würde bei einer Rückkehr in eine seine Existenz vernichtende Situation geraten, die als konkrete Gefährdung im Sinne der zu beachtenden Bestimmungen zu werten wäre (Art. 83 Abs. 4 AuG). Hinsichtlich der geäusserten Heiratsabsicht ist es dem Beschwerdeführer und seiner Partnerin zuzumuten, die Ehe gegebenenfalls auch im Ausland zu schliessen (vgl. hierzu auch die vorstehenden Ausführungen unter E. 7.1.3).</w:t>
      </w:r>
    </w:p>
    <w:p>
      <w:r>
        <w:rPr>
          <w:b/>
        </w:rPr>
        <w:t>E. 7.2.3</w:t>
      </w:r>
    </w:p>
    <w:p>
      <w:r>
        <w:t>Der Vollzug der Wegweisung erweist sich daher sowohl in genereller als auch in individueller Hinsicht als zumutbar.</w:t>
      </w:r>
    </w:p>
    <w:p>
      <w:r>
        <w:rPr>
          <w:b/>
        </w:rPr>
        <w:t>E. 7.3</w:t>
      </w:r>
    </w:p>
    <w:p>
      <w:r>
        <w:t>Schliesslich obliegt es dem Beschwerdeführer, bei der allfällig notwendigen Beschaffung gültiger Reisepapiere - er verfügt über eine Identitätskarte - mitzuwirken (Art. 8 Abs. 4 AsylG), weshalb der Vollzug der Wegweisung auch als möglich zu bezeichnen ist.</w:t>
      </w:r>
    </w:p>
    <w:p>
      <w:r>
        <w:rPr>
          <w:b/>
        </w:rPr>
        <w:t>E. 7.4</w:t>
      </w:r>
    </w:p>
    <w:p>
      <w:r>
        <w:t>Insgesamt ist der durch die Vorinstanz verfügte Wegweisungsvollzug zu bestätigen. Das BFM hat diesen zu Recht als durchführbar erachtet.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dessen Kosten dem Beschwerdeführer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