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D-5390/2006 vom 10. Juni 2009</w:t>
      </w:r>
    </w:p>
    <w:p>
      <w:r>
        <w:t>Bundesverwaltungsgericht, 2009-06-10, DE</w:t>
      </w:r>
    </w:p>
    <w:p>
      <w:r>
        <w:rPr>
          <w:b/>
        </w:rPr>
        <w:t xml:space="preserve">Quelle: </w:t>
      </w:r>
      <w:r>
        <w:t>https://mcp.opencaselaw.ch/entscheid/bvger_D-5390_2006</w:t>
      </w:r>
    </w:p>
    <w:p>
      <w:r>
        <w:t>FR: TAF D-5390/2006 du 10 juin 2009</w:t>
      </w:r>
    </w:p>
    <w:p>
      <w:r>
        <w:t>IT: TAF D-5390/2006 del 10 giugno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Mit Urteil des Bundesverwaltungsgerichts D-5387/2006 vom 27. April 2009 wurde die Beschwerde der Mutter des Beschwerdeführers sowie seiner beiden Schwestern C._______ und D._______ abgewiesen. Zur Begründung wurde im Wesentlichen ausgeführt, dass auf die Unglaubhaftigkeit der geltend gemachten Herkunft aus Darfur sowie die damit verknüpfte Verfolgungssituation zu schliessen sei. Bei dieser Sachlage kann auch dem Beschwerdeführer die geltend gemachte Herkunft aus Darfur und die davon abgeleitete Verfolgungssituation nicht geglaubt werden. Zudem wird auf die in der angefochtenen Verfügung aufgezeigten Unstimmigkeiten in den Schilderungen des Beschwerdeführers verwiesen. Mangels einer entsprechenden Stellungnahme auf Beschwerdeebene kann darauf verzichtet werden, diesbezüglich nähere Ausführungen zu machen, und es wird auf die zutreffenden Erwägungen in der angefochtenen Verfügung verwiesen, denen sich das Bundesverwaltungsgericht vollumfänglich anschliesst.</w:t>
      </w:r>
    </w:p>
    <w:p>
      <w:r>
        <w:rPr>
          <w:b/>
        </w:rPr>
        <w:t>E. 4.2</w:t>
      </w:r>
    </w:p>
    <w:p>
      <w:r>
        <w:t>Zusammenfassend ist festzuhalten, dass den Vorbringen des Beschwerdeführers, er sei im Zeitpunkt ihrer Ausreise in seiner Heimatregion Darfur in asylrechtlich erheblichem Ausmass verfolgt worden, nicht geglaubt werden kann, wobei hervorzuheben ist, dass die geltend gemachte Herkunft aus Darfur unglaubhaft ist.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Sudan ist demnach unter dem Aspekt von Art. 5 AsylG rechtmässig. Sodann ergeben sich weder aus den Aussagen des Beschwerdeführers noch aus den Akten Anhaltspunkte dafür, dass er für den Fall einer Ausschaffung in den Sudan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im Sudan ausserhalb Darfur lässt den Wegweisungsvollzug zum heutigen Zeitpunkt klarerweise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6.5</w:t>
      </w:r>
    </w:p>
    <w:p>
      <w:r>
        <w:t>Den Erkenntnissen des Bundesverwaltungsgerichts zufolge besteht im Sudan ausserhalb der Region Darfur keine Situation allgemeiner Gewalt, und es sind keine Anhaltspunkte dafür ersichtlich, dass der Beschwerdeführer bei einer Rückkehr in einen ausserhalb Darfur gelegenen Teil des Sudans einer konkreten Gefährdung im Sinne von Art. 83 Abs. 4 AuG ausgesetzt wäre. Der Wegweisungsungsvollzug in den Sudan erweist sich somit als generell zumutbar.</w:t>
      </w:r>
    </w:p>
    <w:p>
      <w:r>
        <w:rPr>
          <w:b/>
        </w:rPr>
        <w:t>E. 6.6</w:t>
      </w:r>
    </w:p>
    <w:p>
      <w:r>
        <w:t>Es sind auch keine individuellen, in der Person des Beschwerdeführers gelegenen Gründe ersichtlich, die den Wegweisungsvollzug als unzumutbar erscheinen lassen würden. Dem jungen und offensichtlich gesunden Beschwerdeführer ist es zuzumuten gemeinsam mit seinen Familienangehörigen (Mutter und Geschwister) in den Sudan zurückzukehren und sich dort erneut eine Lebensgrundlage zu schaffen. Es ist festzuhalten, dass die Untersuchungspflicht der Asylbehörden hinsichtlich Zulässigkeit, Zumutbarkeit und Möglichkeit des Vollzugs nach Treu und Glauben ihre Grenzen an der Mitwirkungspflicht der Beschwerde führenden Person findet (Art. 8 AsylG), die im Übrigen auch die Substanziierungslast trägt (Art. 7 AsylG). Da der Beschwerdeführer sowie seine übrigen Angehörigen keine Identitätspapiere eingereicht haben, mithin ihre Identität nicht sicher feststeht und sie auch auf Beschwerdeebene darauf verzichtet haben, ihren tatsächlichen Herkunftsort anzugeben, kann es nicht Sache der Asylbehörden sein, näher nach allfälligen weiteren Wegweisungshindernissen im Heimatland des Beschwerdeführers zu forschen. Gemäss konstanter Schweizer Asylpraxis sind die Asylbehörden nicht gehalten, in Fällen, in denen aufgrund vom Asylgesuchsteller zu verantwortenden Umständen nicht feststeht, welches sein Herkunftsland beziehungsweise sein Herkunftsort ist (vgl. EMARK 2005 Nr. 1 E.3.2.2. S. 5 f.), nach möglichen Vollzugshindernissen zu suchen. Vorliegend konnte der Beschwerdeführer seine geltend gemachte Herkunft aus Darfur nicht glaubhaft machen. Es entsteht vielmehr der Eindruck, dass er seinen wahren Herkunftsort dissimulieren will, weshalb davon auszugehen ist, dass er dort über ein ausreichendes Beziehungsnetz verfügt. Im Weiteren ist vor dem Hintergrund der kostspieligen Ausreise und der Kosten für die medizinische Betreuung seiner Schwester D._______ von ausreichenden finanziellen Quellen im Heimatland auszugehen. Der Beschwerdeführer, aber auch seine Geschwister (Verfahren D-5386/2006, D-5387/2006, D-5388/2006, D-5389/2006), verfügen gemäss Aktenlage über eine gute Schulbildung. Die ganze Familie gehört dem arabischen Stamm Bani Halba an, dessen Angehörigen im Sudan nichts zu befürchten haben. Unter diesen Umständen sollte es dem gemäss Aktenlage gesunden Beschwerdeführer möglich sein, eine seinen Fähigkeiten und Kenntnissen entsprechende wirtschaftliche Existenz in einer sudanesischen Grossstadt, wie zum Beispiel Khartoum, aufzubauen beziehungsweise an seinen tatsächlichen Wohnort zurückzukehren.</w:t>
      </w:r>
    </w:p>
    <w:p>
      <w:r>
        <w:rPr>
          <w:b/>
        </w:rPr>
        <w:t>E. 6.7</w:t>
      </w:r>
    </w:p>
    <w:p>
      <w:r>
        <w:t>Schliesslich ist auch aus der nunmehr bald fünfjährigen Anwesenheit des Beschwerdeführers in der Schweiz und der damit allfällig verbundenen Integration keine andere Beurteilung der Zumutbarkeit des Wegweisungsvollzugs herzuleiten. Nachdem die Bestimmungen betreffend vorläufige Aufnahme infolge einer schwerwiegenden persönlichen Notlage (insbes. Art. 44 Abs. 3-5 AsylG in der Fassung vom 26. Juni 1998; AS 1999 2273) auf den 1. Januar 2007 aufgehoben worden sind, kann bei Beschwerden gegen Verfügungen des BFM beziehungsweise des BFF im Verfahren vor dem Bundesverwaltungsgericht das Vorliegen einer schwerwiegenden persönlichen Notlage nicht mehr geprüft werden. Die Integration in der Schweiz war unter altem Recht primär im Rahmen eben jener Notlagenprüfung zu berücksichtigen. Nach geltendem Recht ist es nun dem Kanton vorbehalten, mit Zustimmung des Bundesamtes einer ihm nach Gesetz zugewiesenen Person eine Aufenthaltsbewilligung zu erteilen, wenn wegen der fortgeschrittenen Integration ein schwerwiegender persönlicher Härtefall vorliegt (Art. 14 Abs. 2 Bst. c AsylG). Nach dem Gesagten erweist sich Vollzug der Wegweisung auch als zumutbar.</w:t>
      </w:r>
    </w:p>
    <w:p>
      <w:r>
        <w:rPr>
          <w:b/>
        </w:rPr>
        <w:t>E. 6.8</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der durch die Vorinstanz verfügte Wegweisungsvollzug zu bestätigen. Die Vorinstanz hat den Vollzug der Wegweisung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Mit Zwischenverfügung vom 17. November 2006 wurde das Gesuch um Gewährung der unentgeltlichen Rechtspflege im Sinne von Art. 65 Abs. 1 VwVG gutgeheissen. Folglich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