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D-5388/2006 vom 10. Juni 2009</w:t>
      </w:r>
    </w:p>
    <w:p>
      <w:r>
        <w:t>Bundesverwaltungsgericht, 2009-06-10, DE</w:t>
      </w:r>
    </w:p>
    <w:p>
      <w:r>
        <w:rPr>
          <w:b/>
        </w:rPr>
        <w:t xml:space="preserve">Quelle: </w:t>
      </w:r>
      <w:r>
        <w:t>https://mcp.opencaselaw.ch/entscheid/bvger_D-5388_2006</w:t>
      </w:r>
    </w:p>
    <w:p>
      <w:r>
        <w:t>FR: TAF D-5388/2006 du 10 juin 2009</w:t>
      </w:r>
    </w:p>
    <w:p>
      <w:r>
        <w:t>IT: TAF D-5388/2006 del 10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Urteil des Bundesverwaltungsgerichts D-5387/2006 vom 27. April 2009 wurde die Beschwerde der Mutter der Beschwerdeführerin sowie ihrer beiden Schwestern C._______ und D._______ abgewiesen. Zur Begründung wurde im Wesentlichen ausgeführt, dass auf die Unglaubhaftigkeit der geltend gemachten Herkunft aus Darfur sowie die damit verknüpfte Verfolgungssituation zu schliessen sei. Bei dieser Sachlage kann auch der Beschwerdeführerin die geltend gemachte Herkunft aus Darfur und die davon abgeleitete Verfolgung nicht geglaubt werden. Zudem wird auf die in der angefochtenen Verfügung aufgezeigten Unstimmigkeiten in den Schilderungen der Beschwerdeführerin verwiesen. Mangels einer entsprechenden Stellungnahme auf Beschwerdeebene kann darauf verzichtet werden, diesbezüglich nähere Ausführungen zu machen, und es wird auf die zutreffenden Erwägungen in der angefochtenen Verfügung verwiesen, denen sich das Bundesverwaltungsgericht vollumfänglich anschliesst.</w:t>
      </w:r>
    </w:p>
    <w:p>
      <w:r>
        <w:rPr>
          <w:b/>
        </w:rPr>
        <w:t>E. 4.2</w:t>
      </w:r>
    </w:p>
    <w:p>
      <w:r>
        <w:t>Zusammenfassend ist festzuhalten, dass den Vorbringen der Beschwerdeführerin, sie sei im Zeitpunkt ihrer Ausreise in ihrer Heimatregion Darfur in asylrechtlich erheblichem Ausmass verfolgt worden, nicht geglaubt werden kann, wobei hervorzuheben ist, dass die geltend gemachte Herkunft aus Darfur unglaubhaft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Sudan ist demnach unter dem Aspekt von Art. 5 AsylG rechtmässig. Sodann ergeben sich weder aus den Aussagen der Beschwerdeführerin noch aus den Akten Anhaltspunkte dafür, dass sie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Sudan ausserhalb Darfur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Den Erkenntnissen des Bundesverwaltungsgerichts zufolge besteht im Sudan ausserhalb der Region Darfur keine Situation allgemeiner Gewalt, und es sind keine Anhaltspunkte dafür ersichtlich, dass die Beschwerdeführerin bei einer Rückkehr in einen ausserhalb Darfur gelegenen Teil des Sudans einer konkreten Gefährdung im Sinne von Art. 83 Abs. 4 AuG ausgesetzt wäre. Der Wegweisungsungsvollzug in den Sudan erweist sich somit als generell zumutbar.</w:t>
      </w:r>
    </w:p>
    <w:p>
      <w:r>
        <w:rPr>
          <w:b/>
        </w:rPr>
        <w:t>E. 6.6</w:t>
      </w:r>
    </w:p>
    <w:p>
      <w:r>
        <w:t>Es sind auch keine individuellen, in der Person der Beschwerdeführerin gelegenen Gründe ersichtlich, die den Wegweisungsvollzug als unzumutbar erscheinen lassen würden. Der jungen und gemäss Aktenlage offensichtlich gesunden Beschwerdeführerin ist es zuzumuten, gemeinsam mit ihren Familienangehörigen (Mutter und Geschwister) in den Sudan zurückzukehren und sich dort erneut eine Lebensgrundlage zu schaffen. Es ist festzuhalten,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Da die Beschwerdeführerin sowie ihre übrigen Angehörigen keine Identitätspapiere eingereicht haben, mithin ihre Identität nicht sicher feststeht und sie auch auf Beschwerdeebene darauf verzichtet haben, ihren tatsächlichen Herkunftsort anzugeben, kann es nicht Sache der Asylbehörden sein, näher nach allfälligen weiteren Wegweisungshindernissen im Heimatland der Beschwerdeführerin zu forschen. Gemäss konstanter Schweizer Asylpraxis sind die Asylbehörden nicht gehalten, in Fällen, in denen aufgrund vom Asylgesuchsteller zu verantwortenden Umständen nicht feststeht, welches sein Herkunftsland beziehungsweise sein Herkunftsort ist (vgl. EMARK 2005 Nr. 1 E.3.2.2. S. 5 f.), nach möglichen Vollzugshindernissen zu suchen. Vorliegend konnte die Beschwerdeführerin ihre geltend gemachte Herkunft aus Darfur nicht glaubhaft machen. Es entsteht vielmehr der Eindruck, dass sie ihren wahren Herkunftsort dissimulieren will, weshalb davon auszugehen ist, dass sie dort über ein ausreichendes Beziehungsnetz verfügt. Im Weiteren ist vor dem Hintergrund der kostspieligen Ausreise und der Kosten für die medizinische Betreuung ihrer Schwester D._______ von ausreichenden finanziellen Quellen im Heimatland auszugehen. Die Beschwerdeführerin, aber auch ihre Geschwister (Verfahren D-5386/2006, D-5387/2006, D-5389/2006 und D-5390/2006), verfügen gemäss Aktenlage über eine gute Schulbildung. Die ganze Familie gehört dem arabischen Stamm Bani Halba an, dessen Angehörigen im Sudan nichts zu befürchten haben. Unter diesen Umständen sollte es der gemäss Aktenlage gesunden Beschwerdeführerin möglich sein, eine ihren Fähigkeiten und Kenntnissen entsprechende wirtschaftliche Existenz in einer sudanesischen Grossstadt, wie zum Beispiel Khartoum, aufzubauen beziehungsweise an ihren tatsächlichen Wohnort zurückzukehren.</w:t>
      </w:r>
    </w:p>
    <w:p>
      <w:r>
        <w:rPr>
          <w:b/>
        </w:rPr>
        <w:t>E. 6.7</w:t>
      </w:r>
    </w:p>
    <w:p>
      <w:r>
        <w:t>Schliesslich ist auch aus der nunmehr bald fünfjährigen Anwesenheit der Beschwerdeführerin in der Schweiz und der damit allfällig verbundenen Integration keine andere Beurteilung der Zumutbarkeit des Wegweisungsvollzugs herzuleiten. Nachdem die Bestimmungen betreffend vorläufige Aufnahme infolge einer schwerwiegenden persönlichen Notlage (insbes. Art. 44 Abs. 3-5 AsylG in der Fassung vom 26. Juni 1998; AS 1999 2273) auf den 1. Januar 2007 aufgehoben worden sind, kann bei Beschwerden gegen Verfügungen des BFM beziehungsweise des BFF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 Nach dem Gesagten erweist sich Vollzug der Wegweisung auch als zumutbar.</w:t>
      </w:r>
    </w:p>
    <w:p>
      <w:r>
        <w:rPr>
          <w:b/>
        </w:rPr>
        <w:t>E. 6.8</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17. November 2006 wurde das Gesuch um Gewährung der unentgeltlichen Rechtspflege im Sinne von Art. 65 Abs. 1 VwVG gutgeheissen. Folglich ist auf die Auferlegung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