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D-5383/2012 vom 10. September 2013</w:t>
      </w:r>
    </w:p>
    <w:p>
      <w:r>
        <w:t>Bundesverwaltungsgericht, 2013-09-10, DE</w:t>
      </w:r>
    </w:p>
    <w:p>
      <w:r>
        <w:rPr>
          <w:b/>
        </w:rPr>
        <w:t xml:space="preserve">Quelle: </w:t>
      </w:r>
      <w:r>
        <w:t>https://mcp.opencaselaw.ch/entscheid/bvger_D-5383_2012</w:t>
      </w:r>
    </w:p>
    <w:p>
      <w:r>
        <w:t>FR: TAF D-5383/2012 du 10 septembre 2013</w:t>
      </w:r>
    </w:p>
    <w:p>
      <w:r>
        <w:t>IT: TAF D-5383/2012 del 10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des Asylgesetzes vom 26. Juni 1998 [AsylG, SR 142.31]; Art. 83 Bst. d Ziff. 1 des Bundesgerichtsge­setzes vom 17. Juni 2005 [BGG, SR 173.110]).</w:t>
      </w:r>
    </w:p>
    <w:p>
      <w:r>
        <w:rPr>
          <w:b/>
        </w:rPr>
        <w:t>E. 1.2</w:t>
      </w:r>
    </w:p>
    <w:p>
      <w:r>
        <w:t>Die Beschwerde ist form- und fristgerecht eingereicht. Der Be­schwer­deführer hat am vorinstanzlichen Verfahren teilgenommen, ist durch die angefochtene Verfügung besonders berührt und hat ein schutzwürdiges Interesse an deren Aufhebung beziehungsweise Änderung. Der Beschwerdeführer ist daher zur Einreichung der Beschwerde legitimiert (Art. 6 und Art. 108 Abs. 1 AsylG i.V.m. Art. 48 Abs. 1, Art. 50 und 52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erachtete in der angefochtenen Verfügung die geltend gemachte Furcht des Beschwerdeführers vor einer Zwangsrekrutierung durch die LTTE im heutigen Zeitpunkt als nicht begründet im Sinne von Art. 3 AsylG. Im Weiteren erachtete es die Vorbringen des Beschwerdeführers, auf dem Weg nach D._______ kontrolliert und in der Folge von Angehörigen der CID festgenommen und zum Verbleib des von der LTTE zwangsrekrutierten Bruders verhört worden zu sein, als nicht glaubhaft im Sinne von Art. 7 AsylG.</w:t>
      </w:r>
    </w:p>
    <w:p>
      <w:r>
        <w:rPr>
          <w:b/>
        </w:rPr>
        <w:t>E. 4.2</w:t>
      </w:r>
    </w:p>
    <w:p>
      <w:r>
        <w:t>In der Beschwerde wurde geltend gemacht, der Beschwerdeführer habe glaubhaft darlegen können, dass er von den Behörden zu seinen Verbindungen zur LTTE befragt worden sei, wobei er insbesondere Auskunft über seinen Bruder und dessen Mitgliedschaft bei der LTTE habe geben müssen. Aufgrund der Auskunft des Beschwerdeführers werde sein Bruder von den Behörden gesucht, weshalb dieser 2009 nach Indien geflohen sei. In der Folge habe er in der Schweizer Botschaft sowohl in D.______ als auch in L.______ einen Asylantrag gestellt. Bei einer Rückkehr nach Sri Lanka müsse der Beschwerdeführer damit rechnen, wegen seines Bruders verhaftet zu werden. Die Einschätzung der im heutigen Zeitpunkt fehlenden Furcht des Beschwerdeführers vor künftiger Verfolgung ist zu bestätigen. Wie das BFM zutreffend festgehalten hat, hat der Beschwerdeführer, abweichend von seiner Aussage anlässlich der Erstbefragung, wonach Soldaten der sri-lankischen Armee seine Identitätskarte kontrolliert und sich lediglich über den Namen seines Wohnortes lustig gemacht hätten (vgl. A1 S. 6), im Rahmen der Anhörung geltend gemacht, auf dem Weg nach D._______ von der CID festgenommen und zum Verbleib des der LTTE angehörenden Bruders verhört worden zu sein (vgl. A7 S. 4). Auf diesen Widerspruch angesprochen, entgegnete der Beschwerdeführer, anlässlich der Erstbefragung sei ihm gesagt worden, er solle sich kurz fassen und keine Details erwähnen (vgl. A7 S. 7). Mit dieser Erklärung vermag der Beschwerdeführer sein diesbezüglich widersprüchliches Verhalten nicht plausibel zu erklären, handelt es sich doch bei der geltend gemachten Tatsache, verhört worden zu sein, nicht bloss um ein Detail. Daher muss das Vorbringen, von der CID zum Verbleib seines Bruders befragt worden zu sein, als nachgeschoben erachtet werden. Vielmehr kann davon ausgegangen werden, dass der Beschwerdeführer ohne weitere Behelligungen kontrolliert wurde. Im Weiteren wurde der Beschwerdeführer nach eigenen Angaben in D.______ einmal kontrolliert und nach ein paar Stunden ohne Auflagen wieder freigelassen. Auch anlässlich seines erfolglosen Versuchs, sich registrieren zu lassen, wurde der Beschwerdeführer von den Behörden nicht behelligt. Bei dieser Sachlage kann davon ausgegangen werden, dass der Beschwerdeführer bereits zu jenem Zeitpunkt von den sri-lankischen Behörden nicht ernsthaft der Unterstützung der LTTE verdächtigt wurde. Ein Verfolgungsinteresse des sri-lankischen Staates am Beschwerdeführer, welcher nie der LTTE angehört oder diese unterstützt hat, ist nicht ersichtlich, zumal sich die Situation nach Beendigung des Krieges in Sri Lanka wesentlich verändert hat.</w:t>
      </w:r>
    </w:p>
    <w:p>
      <w:r>
        <w:rPr>
          <w:b/>
        </w:rPr>
        <w:t>E. 4.3</w:t>
      </w:r>
    </w:p>
    <w:p>
      <w:r>
        <w:t>In seinem Grundsatzurteil BVGE 2011/24 hat das Bundesverwaltungsgericht eine Beurteilung der aktuellen Lage in Sri Lanka vorgenommen und dabei festgehalten, gemäss weitgehend übereinstimmenden Berichten, sei insgesamt von einer seit Beendigung des militärischen Konflikts zwischen der srilankischen Armee und den LTTE im Mai 2009 erheblich verbesserten Lage auszugehen. Die LTTE gälten militärisch als vernichtet. Daher ist die Furcht des Beschwerdeführers vor einer Zwangsrekrutierung durch die LTTE im heutigen Zeitpunkt unbegründet. Im Weiteren wird im genannten Urteil festgehalten, dass sich die Sicherheitslage in bedeutsamer Weise stabilisiert habe, auch wenn sich das Land immer noch in einem Entwicklungsprozess befinde. Indessen habe sich gleichzeitig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Die Zugehörigkeit zu einer Risikogruppe im Sinne des oben erwähnten Urteils ist aus den genannten Gründen nicht gegeben. An dieser Einschätzung vermag die angebliche behördliche Suche nach dem Bruder des Beschwerdeführers, welcher der LTTE angehört haben soll und sich jetzt in Indien befinde, nichts zu ändern, wurde doch der Beschwerdeführer bereits vor seiner Ausreise wegen seines Bruders von den Behörden, obwohl mit diesen mehrmals in Kontakt gekommen, nicht weiter behelligt.</w:t>
      </w:r>
    </w:p>
    <w:p>
      <w:r>
        <w:rPr>
          <w:b/>
        </w:rPr>
        <w:t>E. 4.4</w:t>
      </w:r>
    </w:p>
    <w:p>
      <w:r>
        <w:t>Somit hat die Vor­in­stanz eine begründete Furcht des Beschwerdeführers vor künftiger Verfolgung zu Recht verneint. Der Beschwerdeführer erfüllt somit die Voraussetzungen zur Anerkennung der Flüchtlingseigenschaft nicht, weshalb die Vorinstanz das Asylbegehren zu Recht abgelehnt hat.</w:t>
      </w:r>
    </w:p>
    <w:p>
      <w:r>
        <w:rPr>
          <w:b/>
        </w:rPr>
        <w:t>E. 5.1</w:t>
      </w:r>
    </w:p>
    <w:p>
      <w:r>
        <w:t>In der Regel hat die Ablehnung eines Asylgesuchs oder das Nichtein­treten auf ein Asylgesuch die Wegweisung aus der Schweiz zur Folge. (Art. 44 Abs. 1 AsylG). Vorliegend hat der Kanton keine Aufenthaltsbewilli-gung erteilt und es besteht zudem kein Anspruch auf Erteilung einer sol­chen (BVGE 2009/50 E.9), weshalb die verfügte Wegweisung im Einklang mit den gesetzlichen Bestimmungen steht und demnach vom Bundesamt zu Recht angeordnet wurde.</w:t>
      </w:r>
    </w:p>
    <w:p>
      <w:r>
        <w:rPr>
          <w:b/>
        </w:rPr>
        <w:t>E. 5.2</w:t>
      </w:r>
    </w:p>
    <w:p>
      <w:r>
        <w:t>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w:t>
      </w:r>
    </w:p>
    <w:p>
      <w:r>
        <w:rPr>
          <w:b/>
        </w:rPr>
        <w:t>E. 5.3</w:t>
      </w:r>
    </w:p>
    <w:p>
      <w:r>
        <w:t>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 wie vorstehend dargelegt - der Beschwerdeführer die Flüchtlingsei­genschaft nicht erfüllt und keine Anhaltspunkte für eine dem Be­schwer­de­fü­hrer in Sri Lanka drohende menschenrechtswid­rige Behand­lung im Sinne von Art. 3 der Konvention vom 4. November 1950 zum Schutze der Menschenrechte und Grundfreiheiten (EMRK, SR 0.101) vorliegen (Art. 83 Abs. 3 AuG).</w:t>
      </w:r>
    </w:p>
    <w:p>
      <w:r>
        <w:rPr>
          <w:b/>
        </w:rPr>
        <w:t>E. 5.4</w:t>
      </w:r>
    </w:p>
    <w:p>
      <w:r>
        <w:t>Der Vollzug für Ausländerinnen und Ausländer erweist sich als unzu­mutbar, wenn sie im Heimat- oder Herkunftsstaat auf Grund von Situatio­nen wie Krieg, Bürgerkrieg, allgemeiner Gewalt und medizinischer Not­lage konkret gefährdet sind (Art. 83 Abs. 4 AuG).</w:t>
      </w:r>
    </w:p>
    <w:p>
      <w:r>
        <w:rPr>
          <w:b/>
        </w:rPr>
        <w:t>E. 5.4.1</w:t>
      </w:r>
    </w:p>
    <w:p>
      <w:r>
        <w:t>In Bezug auf die allgemeine Lage in Sri Lanka kann auf die vom Bundesverwaltungsgericht vorgenommene Einschätzung der Situation im bereits erwähnten Grundsatzurteil BVGE 2011/24 verwiesen werden. Demnach ist seit dem Ende des bewaffneten Konflikts zwischen der sri-lankischen Armee und der LTTE im Mai 2009 von einer erheblich verbesserten Sicherheitslage auszugehen, wobei sich die Situation nicht in allen Landesteilen gleich präsentiert.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w:t>
      </w:r>
    </w:p>
    <w:p>
      <w:r>
        <w:rPr>
          <w:b/>
        </w:rPr>
        <w:t>E. 5.4.2</w:t>
      </w:r>
    </w:p>
    <w:p>
      <w:r>
        <w:t>Bei dieser Sachlage hat die Vorinstanz in der angefochtenen Verfügung die Rückkehr des Beschwerdeführers an seinen im Vanni-Gebiet gelegenen Herkunftsort zu Recht als nicht zumutbar erachtet. Indessen hat das BFM das Bestehen einer innerstaatlichen Aufenthaltsalternative in Colombo bejaht. Für die Beurteilung einer Aufenthaltsalternative in Colombo gelten, wie im obengenannten Urteil festgehalten, weiterhin die in BVGE 2008/2 festgestellten Kriterien (vgl. BVGE 2008/2 E. 7.6.1 S. 20 ff.). Das BFM wies darauf hin, dass der Beschwerdeführer von August 2007 bis Dezember 2008 bei einer aus seinem Dorf stammenden Familie in Colombo gelebt habe. Angesichts der Tatsache, dass es dieser Familie gelungen sei, in Colombo Fuss zu fassen, sei davon auszugehen, dass es dem Beschwerdeführer - erst recht im heutigen Zeitpunkt - möglich sein werde, nach seiner Rückkehr in Colombo eine neue Existenz aufzubauen, handle es sich doch bei ihm um einen jungen, gesunden Mann mit guter Ausbildung und langjähriger Berufserfahrung.</w:t>
      </w:r>
    </w:p>
    <w:p>
      <w:r>
        <w:rPr>
          <w:b/>
        </w:rPr>
        <w:t>E. 5.4.3</w:t>
      </w:r>
    </w:p>
    <w:p>
      <w:r>
        <w:t>Auf Beschwerdeebene wurde unter Einreichung von Wohnsitzbestätigungen geltend gemacht, dass die Familie, bei der sich der Beschwerdeführer in Colombo aufgehalten habe, in der Zwischenzeit ins Vanni-Gebiet zurückgekehrt sei, weshalb der Beschwerdeführer bei einer jetzigen Rückkehr in Colombo weder über eine gesicherte Wohnsituation noch ein Beziehungsnetz verfüge. In ihrer Vernehmlassung vom 14. Februar 2013 stellte die Vorinstanz die Beweiskraft der eingereichten Beweismittel grundsätzlich in Frage und wies im Weiteren darauf hin, dass durch nichts belegt sei, dass es sich beim auf den Bestätigungsschreiben aufgeführten K._______ um den fraglichen E.______ handle, bei dem der Beschwerdeführer gewohnt haben wolle. In der Replik vom 28. März 2013 wurde entgegnet, anlässlich der Anhörung habe der Beschwerdeführer unter Angabe der vollständigen Wohnadresse ausgesagt, bei der Familie E._______ gewohnt zu haben. Obwohl es sich beim Ausdruck E._______ offensichtlich erkennbar um einen Spitznamen handle, habe die Vorinstanz es versäumt, den Beschwerdeführer nach der vollen Namensbezeichnung zu fragen.</w:t>
      </w:r>
    </w:p>
    <w:p>
      <w:r>
        <w:rPr>
          <w:b/>
        </w:rPr>
        <w:t>E. 5.4.4</w:t>
      </w:r>
    </w:p>
    <w:p>
      <w:r>
        <w:t>Aufgrund der eingereichten Beweismittel steht nicht fest, ob es sich bei der Familie von K._______, welche wie behauptet im jetzigen Zeitpunkt offensichtlich im Vanni-Gebiet lebe, tatsächlich um die Familie E._______ handelt, bei welcher sich der Beschwerdeführer früher in Colombo aufgehalten hat. Indessen bestehen auch keine konkreten Anhaltspunkte, welche gegen die Glaubhaftigkeit dieser Behauptung sprechen, zumal sich der Beschwerdeführer bemüht hat, diese mit Beweismitteln zu stützen. Daher kann nicht mit hinreichender Bestimmtheit vom Vorliegen besonders begünstigender Faktoren, insbesondere der Existenz eines tragfähigen familiären oder sozialen Beziehungsnetzes sowie von Aussichten auf eine gesicherte Einkommens- und Wohnsituation, ausgegangen werden, welche für die Annahme einer Aufenthaltsalternative im Raum Colombo sprechen würden. Aus den genannten Gründen gelangt das Bundesverwaltungsgericht im Rahmen einer Gesamtwürdigung zum Schluss, dass der Vollzug der Wegweisung des Beschwerdeführers zum heutigen Zeitpunkt als nicht zumutbar zu erachten ist. Da den Akten keine Hinweise auf Ausschlussgründe im Sinne von Art. 83 Abs. 7 AuG entnommen werden können, ist der Beschwerdeführer in der Schweiz vorläufig aufzunehmen.</w:t>
      </w:r>
    </w:p>
    <w:p>
      <w:r>
        <w:rPr>
          <w:b/>
        </w:rPr>
        <w:t>E. 6</w:t>
      </w:r>
    </w:p>
    <w:p>
      <w:r>
        <w:t>Nach dem Gesagten ist die Beschwerde gutzuheissen, soweit sie den Vollzug der Wegweisung betrifft; im Übrigen ist sie abzuweisen. Die Verfügung des BFM vom 14. September 2012 ist hinsichtlich der Ziffern 4 und 5 des Dispositivs aufzuheben. Das BFM ist anzuweisen, den Aufenthalt des Beschwerdeführers nach den gesetzlichen Bestimmungen über die vorläufige Aufnahme zu regeln (vgl. Art. 44 Abs. 2 AsylG und Art. 83 Abs. 4 AuG).</w:t>
      </w:r>
    </w:p>
    <w:p>
      <w:r>
        <w:rPr>
          <w:b/>
        </w:rPr>
        <w:t>E. 7.1</w:t>
      </w:r>
    </w:p>
    <w:p>
      <w:r>
        <w:t>Bei diesem Ausgang des Verfahrens sind die um die Hälfte reduzierten Verfahrenskosten von Fr. 300.- dem Beschwerdeführer aufzuerlegen (Art. 63 Abs. 1 VwVG; Art. 16 Abs. 1 Bst. a VGG i.V.m. Art. 2 und 3 des Reglements vom 21. Februar 2008 über die Kosten und Entschädigungen vor dem Bundesverwaltungsgericht [VGKE, SR 173.320.2]) und mit dem geleisteten Kostenvorschuss in der Höhe von Fr. 600.- zu verrechnen. Der Restbetrag von Fr. 300.- wird dem Beschwerdeführer zurückerstattet.</w:t>
      </w:r>
    </w:p>
    <w:p>
      <w:r>
        <w:rPr>
          <w:b/>
        </w:rPr>
        <w:t>E. 7.2</w:t>
      </w:r>
    </w:p>
    <w:p>
      <w:r>
        <w:t>Dem teilweise obsiegenden Beschwerdeführer ist sodann zulasten der Vorinstanz eine Entschädigung für die ihm erwachsenen notwendigen und verhältnismässig hohen Kosten zuzusprechen (vgl. Art. 64 Abs. 1 VwVG i.V.m. Art. 7 VGKE). Diese Entschädigung ist entsprechend dem Grad des Durchdringens praxisgemäss um die Hälfte zu reduzieren. Es wurde keine Kostennote zu den Akten gereicht. Der notwendige Vertretungsaufwand lässt sich indessen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um die Hälfte reduzierte Parteientschädigung demnach von Amtes wegen auf pauschal Fr. 800.- (inkl.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