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D-5374/2016 vom 29. Juni 2017</w:t>
      </w:r>
    </w:p>
    <w:p>
      <w:r>
        <w:t>Bundesverwaltungsgericht, 2017-06-29, DE</w:t>
      </w:r>
    </w:p>
    <w:p>
      <w:r>
        <w:rPr>
          <w:b/>
        </w:rPr>
        <w:t xml:space="preserve">Quelle: </w:t>
      </w:r>
      <w:r>
        <w:t>https://mcp.opencaselaw.ch/entscheid/bvger_D-5374_2016</w:t>
      </w:r>
    </w:p>
    <w:p>
      <w:r>
        <w:t>FR: TAF D-5374/2016 du 29 juin 2017</w:t>
      </w:r>
    </w:p>
    <w:p>
      <w:r>
        <w:t>IT: TAF D-5374/2016 del 29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gutgeheissen.</w:t>
      </w:r>
    </w:p>
    <w:p>
      <w:r>
        <w:rPr>
          <w:b/>
        </w:rPr>
        <w:t>E. 2</w:t>
      </w:r>
    </w:p>
    <w:p>
      <w:r>
        <w:t>Die Verfügungen vom 19. August 2016 werden aufgehoben. Die Verfahren werden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die Verfahren vor dem Bundesverwaltungsgericht eine Parteientschädigung von insgesamt Fr. 1000.- auszurichten.</w:t>
      </w:r>
    </w:p>
    <w:p>
      <w:r>
        <w:rPr>
          <w:b/>
        </w:rPr>
        <w:t>E. 5</w:t>
      </w:r>
    </w:p>
    <w:p>
      <w:r>
        <w:t>Dieses Urteil geht an die Beschwerdeführenden, das SEM und die zuständige kantonale Behörde. Der Einzelrichter: Die Gerichtsschreiberin: Hans Schürch Martina Kunert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