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D-5371/2010 vom 3. November 2011</w:t>
      </w:r>
    </w:p>
    <w:p>
      <w:r>
        <w:t>Bundesverwaltungsgericht, 2011-11-03, DE</w:t>
      </w:r>
    </w:p>
    <w:p>
      <w:r>
        <w:rPr>
          <w:b/>
        </w:rPr>
        <w:t xml:space="preserve">Quelle: </w:t>
      </w:r>
      <w:r>
        <w:t>https://mcp.opencaselaw.ch/entscheid/bvger_D-5371_2010</w:t>
      </w:r>
    </w:p>
    <w:p>
      <w:r>
        <w:t>FR: TAF D-5371/2010 du 3 novembre 2011</w:t>
      </w:r>
    </w:p>
    <w:p>
      <w:r>
        <w:t>IT: TAF D-5371/2010 del 3 novembre 2011</w:t>
      </w:r>
    </w:p>
    <w:p>
      <w:pPr>
        <w:pStyle w:val="Heading2"/>
      </w:pPr>
      <w:r>
        <w:t>Regeste</w:t>
      </w:r>
    </w:p>
    <w:p>
      <w:r>
        <w:t>Asyl und Wegweisung</w:t>
      </w:r>
    </w:p>
    <w:p>
      <w:pPr>
        <w:pStyle w:val="Heading2"/>
      </w:pPr>
      <w:r>
        <w:t>Erwägungen</w:t>
      </w:r>
    </w:p>
    <w:p>
      <w:r>
        <w:rPr>
          <w:b/>
        </w:rPr>
        <w:t>E. 2</w:t>
      </w:r>
    </w:p>
    <w:p>
      <w:r>
        <w:t>Mit Beschwerde können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hielt zur Begründung des ablehnenden Asylentscheides fest, die Vorbringen der Beschwerdeführerin und ihres Ehemannes hielten den Anforderungen an die Glaubhaftmachung gemäss Art. 7 AsylG nicht stand. Im Einzelnen führt es aus, Abklärungen der Schweizer Botschaft in Addis Abeba hätten ergeben, dass das eingereichte Gerichtsdokument gefälscht sei. Die auf dem Dokument angebrachte Aktennummer beziehe sich auf einen zivilrechtlichen Streit zwischen zwei anderen Personen, der zudem abgeschlossen sei. Mit der anlässlich des rechtlichen Gehörs abgegebenen Gegenbehauptung des Ehemannes der Beschwerdeführe­rin, das Dokument sei echt, löse er die Unstimmigkeiten nicht auf. Zumal das eingereichte Dokument gefälscht sei, seien seine Darstellung und dieje­nige seiner Ehefrau nicht glaubhaft. Vor diesem Hintergrund erstaune nicht, dass die Aussagen der Beschwerdeführerin und ihres Ehemannes "mit zahlreichen Unstimmigkeiten bespickt" seien (Erwägung 1, Seite 3 der angefochtenen Verfügung). Der Ehemann der Beschwerdeführerin habe sodann zu wesentlichen Punkten unterschiedliche Angaben ge­macht. An der BzP habe er angegeben, er sei am 14. März 2006 (gemäss äthiopischem Kalender am 5. Megabit 1998) von vier Personen festgenommen worden, wogegen er an der Anhörung gesagt habe, er sei am 5. April 2006 beziehungsweise am 25. Megabit 1998 von vier bis fünf Personen festgenommen worden. An der BzP habe er erklärt, er habe die viermonatige Haft mit zwei andern Personen in einer Zelle verbracht, während er an der Anhörung zu Protokoll gegeben habe, in einem Raum seien 300 bis 400 Häftlinge festgehalten worden. Während er an der BzP angegeben habe, er sei ausser der vorgebrachten Festnahme und an­schliessenden Inhaftierung nie festgenommen worden, habe er an der Anhörung geltend gemacht, von 1999 bis 2006 jeden Monat mindestens einmal festgenommen worden zu sein. Gemäss seinen Schilderungen an der BzP habe man ihn nach der Festnahme auf die Polizeizentrale ge­bracht; auf die diesbezügliche Nachfrage an der Anhörung habe er er­klärt, es habe sich nicht um einen Polizeiposten gehandelt, sondern um ein Gefängnis. Die Beschwerdeführerin habe an der BzP zunächst geschildert, sie sei am Tag der Festnahme ihres Ehemannes von den Militärangehörigen geschlagen worden und anschliessend drei Tage im Spital gewesen; im späteren Verlauf der BzP habe sie demgegenüber zu Protokoll gegeben, Militärangehörige seien fünf Tage nach der Fest­nahme ihres Mannes erneut nach Hause gekommen, wobei sie [...]. Überdies habe sie an der BzP die Frage verneint, ob sie "neben den vorgebrachten Verfolgungsmassnahmen noch weitere habe" (Erwägung 3, Seite 4 der angefochtenen Verfügung), um dann an der Anhörung vorzubringen, das Militär sei nach der vorgebrachten Fest­nahme ihres Mannes sehr oft nach Hause gekommen. Dieser habe ausgesagt, seine Frau habe ihn im Gefängnis besucht, dazu aber keine konkreten Angaben machen können. Die widersprüchliche und unsubstanziierte Darstellung der Beschwerdeführerin und ihres Eheman­nes bestätige die bestehende Unglaubhaftigkeit der Vorbringen. Daran vermöge die eingereichte Parteibestätigung der OLF nichts zu ändern, zumal deren Authentizität - insbesondere im Licht der unstimmigen Anga­ben der Beschwerdeführerin und ihres Ehemannes - grundsätzlich offenbleiben müsse. 4.2. In der Beschwerde wird zur Argumentation hinsichtlich der Vorbrin­gen des Ehemannes der Beschwerdeführerin sowie zu den eingereichten Beweismitteln zunächst auf die Beschwerde im Verfahren D-5081/2010 des Ehemannes verwiesen. Bezüglich der Vorbringen der Beschwerdeführerin selbst wird gerügt, die Sachverhaltsdarstellung des BFM sei insbesondere hinsichtlich des chronologischen Ablaufes falsch. Die Beschwerdeführerin habe an keiner Stelle gesagt, sie sei am Tag der Festnahme ihres Mannes von den Militärangehörigen geschlagen worden und anschliessend drei Tage im Spital gewesen. Aus ihren Aussagen sowohl an der BzP als auch an der Anhörung gehe hervor, dass sie fünf Tage nach der Festnahme des Ehemannes (Mitte März) zuhause [...] worden sei. Am Tag der Entlassung des Ehemannes am 8. Juli 2006 - chronologisch also nach [...] - hätten Militärangehörige bei ihr zu Hause das Eingangstor aufgebrochen, wobei sie zu Boden gefallen und bewusstlos geworden sei, in der Folge ihr ungeborenes Kind verloren sowie 25 Tage im Spital verbracht habe. Dieser Spitalaufenthalt, während dem sie auch an der Gebärmutter ope­riert worden sei, sei der einzige gewesen. Die Beschwerdeführerin habe demnach keinerlei widersprüchliche Aussagen gemacht; die Darstellung der Vorinstanz beruhe vielmehr auf einem unsorgfältigen Aktenstudium. Dass die Beschwerdeführerin an der BzP die Existenz weiterer Verfol­gungsmassnahmen verneint habe, an der Anhörung hingegen gesagt habe, das Militär sei nach der Festnahme ihres Mannes sehr oft nach Hause gekommen, sei nicht ein Widerspruch, sondern ein Missverständ­nis. Die Angaben der Beschwerdeführerin an der Anhörung, das Militär sei sehr oft beziehungsweise sehr unregelmässig - manchmal jeden Tag, oder auch nach einer Woche - zu ihr nach Hause gekommen, würden sich nicht auf den Zeitraum der Inhaftierung des Ehemannes vom 14. März bis 8. Juli 2006 beziehen, sondern auf die Zeit zuvor, als dieser immer wieder für kurze Zeit festgenommen worden sei. Zudem treffe das Zitat des BFM, die Beschwerdeführerin habe gesagt, "das Militär sei nach der vorgebrachten Festnahme ihres Mannes sehr oft nach Hause gekom­men", nicht zu. Gegen ihre Glaubwürdigkeit spreche auch nicht, dass sie das mehrmalige Nachfragen nach ihrem Ehemann an der BzP auf die Frage nach anderen Gründen nicht erwähnt habe. Dies seien nicht an sich ihre Fluchtgründe gewesen. Anlässlich dieser Vorfälle sei ihr - an­ders als bei [...] im März 2006 - auch nichts angetan wor­den. Zudem sei zu berücksichtigen, dass die BzP primär bezwecke, die Angaben zur Person, den Angehörigen und zum Fluchtweg aufzunehmen, und die Fluchtgründe nur summarisch abgeklärt würden. Die Beschwerdeführerin habe durchwegs plausible und konsistente Angaben gemacht, welche auch mit den Vorbringen ihres Ehemannes übereinstimmten. Die Einschätzung der Vorinstanz stütze sich auf unhalt­bare Argumente oder Behauptungen. Schliesslich wäre das BFM gehal­ten gewesen, zwei separate Verfügungen zu erstellen, habe die Beschwerdeführerin doch an der Anhörung erklärt, [...]. Weiter wird in der Beschwerde gerügt, das BFM habe sich mit der asylrechtlichen Relevanz der Verfolgungsvorbringen der Beschwerdeführerin nicht auseinandergesetzt. Der Unterstützung der OLF verdächtigte Personen würden in Äthiopien ohne Anklage inhaftiert, gefoltert, vergewaltigt und geschlagen. Familienangehörige würden aus dem alleinigen Grund misshandelt, dass sie mit einer verdächtigen Person verwandt seien. Aufgrund ihres Ehemannes, welcher in Äthiopien aktiv für die OLF tätig gewesen sei, müsse die Beschwerdeführerin bei einer allfälligen Rückkehr ins Heimatland mit einer Reflexverfolgung und damit mit Nachteilen im Sinne von Art. 3 AsylG rechnen. Ausserdem ge­höre sie selbst auch der Ethnie der Oromo an, welche in Äthiopien oft schon aufgrund der ethnischen Zugehörigkeit unter dem Verdacht stün­den, die OLF zu unterstützen. Die drohende Verfolgung sei politisch so­wie ethnisch motiviert und gefährde die Beschwerdeführerin konkret an Leib und Leben; es existiere für sie auch keine innerstaatliche Fluchtalternative. 5.1. Wie im Verwaltungsverfahren allgemein, gilt auch im Asylverfahren der Untersuchungsgrundsatz und die Pflicht zur vollständigen und richti­gen Abklärung des rechtserheblichen Sachverhalts (Art. 6 AsylG i.V.m. Art. 12 VwVG). Das BFM hat die für das Verfahren erforderlichen Sachverhaltsunterlagen zu beschaffen, die relevanten Umstände abzuklären und darüber ordnungsgemäss Beweis zu führen. Gemäss Art. 8 AsylG hat die asylsuchende Person demgegenüber die Pflicht und unter dem Blickwinkel des rechtlichen Gehörs im Sinne von Art. 29 VwVG und Art. 29 Abs. 2 BV das Recht, an der Feststellung des Sachverhalts mit­zuwirken (vgl. BVGE 2009/50 E. 10.2.1 und E. 10.2.2 S. 734 f., BVGE 2008/24 E. 7.2 S. 356 f.) 5.2. Das Bundesverwaltungsgericht heisst mit Urteil D-5081/2010 heuti­gen Datums die Beschwerde des Ehemannes der Beschwerdeführerin gut und hebt die vorinstanzliche Verfügung vom 10. Juni 2010 den Ehe­mann und das Kind der Beschwerdeführerin betreffend auf, da das BFM unter anderem den Anspruch des Ehemannes auf rechtliches Gehör (Art. 29 Abs. 2 BV, Art. 29 VwVG und Art. 6 der Asylverordnung 1 vom 11. August 1999 [AsylV 1, SR 142.311]) verletzt und den Sachverhalt bezüglich seiner Verfolgungsvorbringen - insbesondere hinsichtlich der geltend gemachten Mitgliedschaft bei der OLF und seiner Aktivitäten für diese Organisation sowie der darauf beruhenden Inhaftierung und Folter - teils unrichtig, teils unvollständig erhoben hat. Soweit die Beschwerdeführerin im vorliegenden Verfahren geltend macht, sie sei aufgrund der Aktivitäten ihres Ehemannes für die OLF Opfer [...] von Reflexverfolgung geworden und müsse im Falle einer Rückkehr nach Äthiopien wiederum mit Reflexverfolgung beziehungsweise mit Nachteilen im Sinne von Art. 3 AsylG rechnen, ist festzuhalten, dass dieses Vorbringen nicht ohne Weiteres von der Hand zu weisen ist, solange nicht ausgeschlossen werden kann, dass der Ehe­mann wegen Aktivitäten für die OLF inhaftiert war. 5.3. Dass der rechtserhebliche Sachverhalt auch in Bezug auf die Verfol­gungsvorbringen der Beschwerdeführerin nicht als hinreichend erstellt gelten kann, geht überdies auch aus der angefochtenen Verfügung selbst hervor, in welcher der Sachverhalt offensichtlich nicht korrekt erfasst wurde. Die sehr knappe Sachverhaltsdarstellung durch das BFM (vgl. Ziff. 1, Seite 2 sowie Erwägung I, Seite 3 oben) - Festnahme des Ehemannes im Frühling 2006 und viermonatige Inhaftierung, Schlagen der Beschwerdeführerin am Tag der Freilassung ihres Ehemannes und anschliessender Spitalaufenthalt, [...] der Beschwerdeführerin fünf Tage nach der Festnahme des Beschwerdeführers - zeigt, dass das BFM die geltend gemachten Ereignisse chronologisch nicht richtig eingeordnet sowie teilweise falsch dargestellt und der falschen Person zugeordnet hat. Wie in der Beschwerde zutreffend festgehalten wird, fand [...] gemäss den Aussagen der Beschwerdeführerin zeitlich vier Monate vor den Ereignissen statt, die zu ihrem Spitalaufenthalt geführt haben. Zudem war es der Ehemann der Beschwerdeführerin - und nicht diese selbst - der zu Protokoll gegeben hat, seine Frau sei geschlagen worden (allenfalls auch gestossen, "é stata picchiata", vgl. act. A2/11 S. 3 und 6). In Erwägung I Ziff. 2 (auf Seite 3 der Verfügung) hält das BFM fest, die Beschwerdeführerin habe an der BzP zu Protokoll gegeben, am Tag der Festnahme ihres Mannes hätten Militärangehörige sie geschlagen, und anschliessend habe sie drei Tage im Spital verbracht. Diese Darstellung der Vorbringen der Beschwerdeführerin durch die Vorinstanz ist in mehrfacher Hinsicht aktenwidrig. Zum einen ist den Befragungsprotokollen keine Aussage der Beschwerdeführerin zu entnehmen, wonach sie am Tag der Festnahme ihres Mannes geschlagen (oder gestossen) worden sei und anschliessend drei Tage im Spital verbracht habe. Wie in der Beschwerde zu Recht geltend gemacht wird, hat die Beschwerdeführerin vielmehr konsistent ausgesagt, sie sei fünf Tage nach der Festnahme des Ehemannes (Mitte März) zuhause [...]. Am Tag der Entlassung des Ehemannes am 8. Juli 2006 - chronologisch also nach [...] - hätten Militärangehörige bei ihr zu Hause das Eingangstor aufgebrochen, wobei sie zu Boden gefallen und bewusstlos geworden sei, in der Folge ihr ungeborenes Kind verloren sowie 25 Tage im Spital verbracht habe (vgl. act. A1/9 S. 5 f.; A16/13 S. 6 und 9 f.). Zum anderen war es, wie bereits erwähnt, der Ehemann der Beschwerdeführerin, welcher aussagte, sie sei geschlagen (oder gestossen) worden - allerdings nicht am Tag seiner Festnahme (im März 2006), wie das BFM in der Verfügung irrtümlicher­weise schreibt, sondern am 8. Juli 2006, am Tag der Haftentlassung. Aus der offensichtlich falschen und aktenwidrigen Wiedergabe der Vorbringen der Beschwerdeführerin durch das BFM - Schläge am Tag der Fest­nahme des Ehemannes und anschliessender dreitägiger Spitalaufenthalt - leitet das Amt dann einen Widerspruch zu ihrer aktenkundigen Aussage ab, sie sei fünf Tage nach der Festnahme ihres Mannes [...]. Einen weiteren Widerspruch in den Aussagen der Beschwerdeführe­rin erblickt das BFM darin, dass diese an der BzP weitere Verfolgungsmassnahmen verneint habe, an der Anhö­rung dann aber vorgebracht habe, "das Militär sei nach der vorgebrachten Festnahme ih­res Mannes sehr oft nach Hause gekommen" (vgl. Erwä­gung I Ziff. 2 Seite 4). Ob sich die Aussage der Beschwerdeführerin, Militärangehörige seien immer wieder zu ihr nach Hause gekommen, als ihr Mann im Gefängnis gewesen sei, auf den viermonatigen Gefängnisaufenthalt des Ehemannes vom März bis Juli 2006 bezieht, wie das BFM in der Verfügung schreibt, oder auf die früheren kurzzeitigen Festnahmen, wie in der Beschwerde geltend gemacht wird, lässt sich auf­grund der Anhörungsprotokolle nicht eindeutig eruieren. Jedenfalls ver­mag die Darstellung der Gründe in der Beschwerde, weshalb die Beschwerdeführerin diese Besuche nicht bereits in der BzP erwähnt hat (vgl. E. 4.2 hiervor), zu überzeugen. Zusammenfassend ist festzuhalten, dass das BFM in den acht Zeilen, in denen es sich in der angefochtenen Verfügung überhaupt zur Beschwerdeführerin äussert (vgl. Erwägung I Ziff. 2 Seite 4), deren Vorbingen einerseits unrichtig wiedergibt und andererseits ungenügend würdigt.</w:t>
      </w:r>
    </w:p>
    <w:p>
      <w:r>
        <w:rPr>
          <w:b/>
        </w:rPr>
        <w:t>E. 6</w:t>
      </w:r>
    </w:p>
    <w:p>
      <w:r>
        <w:t>Zusammenfassend ergibt sich, dass das BFM den rechtserheblichen Sachverhalt teilweise unrichtig und unvollständig erhoben und die Beweisregel von Art. 7 Abs. 2 und 3 AsylG unrichtig angewandt hat. Die Beschwerde ist demnach gutzuheissen, soweit darin die Aufhebung der angefochtenen Verfügung beantragt wird, und die Sache ist zur richti­gen und vollständigen Feststellung des rechtserheblichen Sachverhalts und zur Neubeurteilung an das BFM zurückzuweisen. 7.1. Bei diesem Ausgang des Verfahrens sind keine Verfahrenskosten aufzuerlegen (Art. 63 Abs. 1 und 2 VwVG). 7.2. Der Beschwerdeführerin ist in Anwendung von Art. 64 Abs. 1 VwVG eine Parteientschädigung für die ihr erwachsenen notwendigen Vertre­tungskosten zuzusprechen (vgl. Art. 7 des Reglements vom 21. Februar 2008 über die Kosten und Entschädigungen vor dem Bundesverwaltungsgericht [VGKE, SR 173.320.2]). Nachdem ihr Rechtsvertreter keine Kostennote eingereicht hat, ist die Parteientschädi­gung auf Grund der Akten festzulegen (Art. 14 Abs. 2 in fine VGKE). Un­ter Berücksichtigung der massgeblichen Bemessungsfaktoren (vgl. Art. 8 ff. VGKE) ist diese auf Fr. 700.- (inkl. Auslagen und Mehr­wertsteuer) festzusetzen (Art. 14 Abs. 2 und Art. 10 Abs. 2 VGKE). Das BFM ist anzuweisen, der Beschwerdeführerin diesen Betrag als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