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D-5370/2019 vom 24. Oktober 2019</w:t>
      </w:r>
    </w:p>
    <w:p>
      <w:r>
        <w:t>Bundesverwaltungsgericht, 2019-10-24, DE</w:t>
      </w:r>
    </w:p>
    <w:p>
      <w:r>
        <w:rPr>
          <w:b/>
        </w:rPr>
        <w:t xml:space="preserve">Quelle: </w:t>
      </w:r>
      <w:r>
        <w:t>https://mcp.opencaselaw.ch/entscheid/bvger_D-5370_2019</w:t>
      </w:r>
    </w:p>
    <w:p>
      <w:r>
        <w:t>FR: TAF D-5370/2019 du 24 octobre 2019</w:t>
      </w:r>
    </w:p>
    <w:p>
      <w:r>
        <w:t>IT: TAF D-5370/2019 del 24 ottobre 2019</w:t>
      </w:r>
    </w:p>
    <w:p>
      <w:pPr>
        <w:pStyle w:val="Heading2"/>
      </w:pPr>
      <w:r>
        <w:t>Regeste</w:t>
      </w:r>
    </w:p>
    <w:p>
      <w:r>
        <w:t>Asyl und Wegweisung (verkürzte Beschwerdefrist)</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 im Bereich des Ausländerrechts zudem auch auf Unangemessenheit (Art. 49 VwVG).</w:t>
      </w:r>
    </w:p>
    <w:p>
      <w:r>
        <w:rPr>
          <w:b/>
        </w:rPr>
        <w:t>E. 2.2</w:t>
      </w:r>
    </w:p>
    <w:p>
      <w:r>
        <w:t>Die Beschwerde erweist sich als offensichtlich unbegründet und ist im Verfahren einzelrichterlicher Zuständigkeit mit Zustimmung einer zweiten Richterin respektive eines zweiten Richters (Art. 111 Bst. e AsylG), ohne Weiterungen und mit summarischer Begründung zu behandeln (Art. 111a Abs. 1 und 2 AsylG).</w:t>
      </w:r>
    </w:p>
    <w:p>
      <w:r>
        <w:rPr>
          <w:b/>
        </w:rPr>
        <w:t>E. 2.3</w:t>
      </w:r>
    </w:p>
    <w:p>
      <w:r>
        <w:t>Die Beschwerde richtet sich einzig gegen den Asyl- und Wegweisungsentscheid. Die Verfügung der Vorinstanz betreffend die ZEMIS-Eintragung (Dispositiv-Ziffern 6 und 7) ist unangefochten geblieben. Indes ist bezüglich der ZEMIS-Eintragung die Beschwerdefrist noch nicht abgelaufen. Dem Beschwerdeführer steht es somit frei, in diesem Punkt mit separater Beschwerde ans Bundesverwaltungsgericht zu gelangen.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Die Identität des Beschwerdeführers steht nicht fest. Vielmehr besteht Grund zur Annahme, er versuche, seine wahre Herkunft und seine persönlichen Verhältnisse zu verschleiern. So hat er sich den schweizerischen Behörden gegenüber unter mehreren verschiedenen Identitäten mit insbesondere erheblich divergierenden Geburtsjahren präsentiert, ohne hierfür zureichende und nachvollziehbare Erklärungen vorzulegen. Ebenso hat er keine amtlichen Identitätsdokumente vorgelegt und ist auch diesbezüglich schlüssige Erklärungen schuldig geblieben. Das Aussageverhalten des Beschwerdeführers im Verlaufe des Asylverfahrens impliziert bereits eine erhebliche Beeinträchtigung seiner persönlichen Glaubwürdigkeit, weshalb allein schon aus diesem Grund an den von ihm geltend gemachten Asylvorbringen Zweifel anzubringen sind. Unabhängig von der Frage der Glaubhaftigkeit ergeben sich aus der vom Beschwerdeführer lediglich pauschal geltend gemachten Angst, in D._______ wegen Diebstahls von seinem Vater ums Leben gebracht zu werden, keine konkreten Anhaltspunkte für die Annahme einer begründeten Furcht im Sinne von Art. 3 AsylG. Dies umso mehr, als es sich um Behelligungen Dritter handelt und von der Schutzfähigkeit der lokalen Behörden auszugehen ist, was auch die Vor-instanz zutreffend erkannt hat. Schliesslich sind die Vorbringen des Beschwerdeführers bezüglich seiner Situation im Drittstaat E._______ (Angst vor Tötung durch seine dort lebenden Verwandten) asylrechtlich ebenfalls nicht relevant und mithin nicht weiter zu berücksichtigen. Die spärlichen Entgegnungen in der Rechtsmitteleingabe vermögen die angefochtene Verfügung nicht zu entkräften. Damit ist nach Würdigung der gesamten Umstände als Ergebnis festzuhalten, dass der Beschwerdeführer die Vor-aussetzungen der Flüchtlingseigenschaft im Sinne von Art. 3 AsylG nicht erfüllt. Folgerichtig bleibt ihm die Gewährung von Asyl durch die schweizerischen Behörden versagt (Art. 2 Abs. 1 und Art. 49 AsylG). Die Ablehnung des entsprechenden Gesuchs durch die Vorinstanz ist zu bestätigen.</w:t>
      </w:r>
    </w:p>
    <w:p>
      <w:r>
        <w:rPr>
          <w:b/>
        </w:rPr>
        <w:t>E. 5.1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(vgl. BVGE 2009/50 E. 9).</w:t>
      </w:r>
    </w:p>
    <w:p>
      <w:r>
        <w:rPr>
          <w:b/>
        </w:rPr>
        <w:t>E. 6.1</w:t>
      </w:r>
    </w:p>
    <w:p>
      <w:r>
        <w:t>Ist der Vollzug der Wegweisung nicht zulässig, nicht zumutbar oder nicht möglich, so regelt das Staatssekretariat das Anwesenheitsverhältnis nach den gesetzlichen Bestimmungen über die vorläufige Aufnahme von Ausländerinnen und Ausländern (Art. 44 AsylG; Art. 83 Abs. 1 AIG). Bei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w:t>
      </w:r>
    </w:p>
    <w:p>
      <w:r>
        <w:t>Die Zulässigkeit, Zumutbarkeit und Möglichkeit des Vollzugs sind grundsätzlich von Amtes wegen zu prüfen. Die Untersuchungspflicht findet jedoch nach Treu und Glauben ihre Grenzen an der Mitwirkungspflicht des Asylsuchenden (Art. 8 AsylG), der im Übrigen auch die Substantiierungslast trägt (Art. 7 AsylG). Es kann nicht Sache der Asylbehörden sein, nach allfälligen Wegweisungshindernissen in hypothetischen Herkunftsländern zu forschen. Der Beschwerdeführer hat die Folgen seiner fehlenden Mitwirkung respektive der Verheimlichung seiner wahren Identität und Herkunft zu tragen. Das Gericht geht vermutungsweise davon aus, es würden einer Wegweisung in den tatsächlichen Heimatstaat keine landes- oder völkerrechtlichen Vollzugshindernisse im Sinne von Art. 44 AsylG i.V.m. Art. 83 Abs. 2-4 AIG entgegenstehen (vgl. BVGE 2014/12 E. 5.10).</w:t>
      </w:r>
    </w:p>
    <w:p>
      <w:r>
        <w:rPr>
          <w:b/>
        </w:rPr>
        <w:t>E. 6.3</w:t>
      </w:r>
    </w:p>
    <w:p>
      <w:r>
        <w:t>Zusammenfassend hat die Vorinstanz den Wegweisungsvollzug zu Recht als zulässig, zumutbar und möglich bezeichnet. Eine Anordnung der vorläufigen Aufnahme fällt somit ausser Betracht (Art. 83 Abs. 1-4 AIG). 7.Aus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Auf den Prozessantrag auf Gewährung der aufschiebenden Wirkung ist bereits mangels Rechtsschutzinteresses nicht einzutreten, da einer Beschwerde von Gesetzes wegen aufschiebende Wirkung zukommt und diese vorliegend nicht entzogen wurde.</w:t>
      </w:r>
    </w:p>
    <w:p>
      <w:r>
        <w:rPr>
          <w:b/>
        </w:rPr>
        <w:t>E. 8.2</w:t>
      </w:r>
    </w:p>
    <w:p>
      <w:r>
        <w:t>Der Beschwerdeführer beantragt die Gewährung der unentgeltlichen Rechtspflege gemäss Art. 65 Abs. 1 VwVG. Aufgrund der vorstehenden Erwägungen ergibt sich, dass seine Begehren zum Zeitpunkt des Einreichens der Beschwerde als aussichtslos zu gelten hatten. Damit ist eine der kumulativ zu erfüllenden Voraussetzungen nicht gegeben, weshalb das Gesuch abzulehnen ist. Daher ist auch dem Gesuch um Beiordnung einer amtlichen Rechtsvertretung nicht stattzugeben.</w:t>
      </w:r>
    </w:p>
    <w:p>
      <w:r>
        <w:rPr>
          <w:b/>
        </w:rPr>
        <w:t>E. 8.3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