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D-5370/2010 vom 7. September 2010</w:t>
      </w:r>
    </w:p>
    <w:p>
      <w:r>
        <w:t>Bundesverwaltungsgericht, 2010-09-07, DE</w:t>
      </w:r>
    </w:p>
    <w:p>
      <w:r>
        <w:rPr>
          <w:b/>
        </w:rPr>
        <w:t xml:space="preserve">Quelle: </w:t>
      </w:r>
      <w:r>
        <w:t>https://mcp.opencaselaw.ch/entscheid/bvger_D-5370_2010</w:t>
      </w:r>
    </w:p>
    <w:p>
      <w:r>
        <w:t>FR: TAF D-5370/2010 du 7 septembre 2010</w:t>
      </w:r>
    </w:p>
    <w:p>
      <w:r>
        <w:t>IT: TAF D-5370/2010 del 7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 Das Verfahren richtet sich nach dem VwVG, dem VGG und dem BGG, soweit das AsylG nichts anderes bestimmt (Art. 37 VGG und Art. 6 AsylG).</w:t>
      </w:r>
    </w:p>
    <w:p>
      <w:r>
        <w:rPr>
          <w:b/>
        </w:rPr>
        <w:t>E. 1.2</w:t>
      </w:r>
    </w:p>
    <w:p>
      <w:r>
        <w:t>Die Beschwerde ist nicht in einer Amtssprache des Bundes abgefasst. Auf die Ansetzung einer Frist zur Beschwerdeverbesserung kann indessen verzichtet werden, da der in Spanisch verfassten Beschwerdeeingabe, welche zudem vom Bundesverwaltungsgericht übersetzt wurde, genügend klare, sinngemässe Rechtsbegehren und deren Begründung zu entnehmen sind und ohne Weiteres darüber befunden werden kann.</w:t>
      </w:r>
    </w:p>
    <w:p>
      <w:r>
        <w:rPr>
          <w:b/>
        </w:rPr>
        <w:t>E. 1.3</w:t>
      </w:r>
    </w:p>
    <w:p>
      <w:r>
        <w:t>Der Zeitpunkt der Eröffnung der angefochtenen Verfügung steht mangels Vorliegens einer Empfangsbestätigung nicht fest. Angesichts der Tatsache, dass der Versand der angefochtenen Verfügung gemäss Angaben der Schweizer Bortschaft in Bogotá am 3. Mai 2010 erfolgte und die Beschwerdeeingabe vom 28. Mai 2010 dort am 2. Juni 2010 einging, ist die Beschwerde indessen offensichtlich rechtzeitig erfolgt.</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 abgesehen vom unter E. 1.2 festgestellten Mangel -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4.2.1</w:t>
      </w:r>
    </w:p>
    <w:p>
      <w:r>
        <w:t>Im vorliegenden Fall wurde der Beschwerdeführer von der schweizerischen Vertretung in Bogotá zu seinem Asylgesuch vom 27. Oktober 2008 nicht befragt, da die Botschaft dazu gemäss Überweisungsschreiben vom 13. Mai 2009 aus Kapazitätsgründen nicht in der Lage war. Der Beschwerdeführer wurde indessen zur weiteren Konkretisierung seiner Asylgründe aufgefordert, was sich daraus ergibt, dass er in seiner Eingabe vom 16. Februar 2009 auf verschiedene Fragen Antworten gab und seine Asylgründe nochmals eingehend darlegte. Die in seinem Antwortschreiben enthaltenen Angaben decken sämtliche für die Beurteilung des Asylgesuches aus dem Ausland notwendigen Aspekte ab, namentlich die genauen Personalien der asylsuchenden Person, deren verwandtschaftliche Beziehungen ausserhalb des Heimatstaates, die Asylvorbringen, die unternommenen Massnahmen zur Schutzsuche, die Möglichkeit einer innerstaatlichen Fluchtalternative sowie die Möglichkeit der Schutzsuche in anderen latein- und südamerikanischen Staaten. Der Beschwerdeführer hat die ihm gestellten Fragen mit Eingabe vom 16. Februar 2009 ausführlich beantwortet, seine Angaben aufforderungsgemäss mit entsprechenden Beweismitteln unterlegt und in der Folge noch schriftlich ergänzt. Bei dieser Sachlage ist festzuhalten, dass im erstinstanzlichen Verfahren dem Anspruch des Beschwerdeführers auf Gewährung des rechtlichen Gehörs grundsätzlich Rechnung getragen und der entscheidwesentliche Sachverhalt in genüglicher Weise und umfassend abgeklärt wurde, zumal der Beschwerdeführer seine Asylgründe bereits im Rahmen seines schriftlichen Asylgesuchs vom 27. Oktober 2008 ausführlich dargelegt und in diesem Zusammenhang eine Vielzahl von Beweismitteln eingereicht hatte.</w:t>
      </w:r>
    </w:p>
    <w:p>
      <w:r>
        <w:rPr>
          <w:b/>
        </w:rPr>
        <w:t>E. 4.2.2</w:t>
      </w:r>
    </w:p>
    <w:p>
      <w:r>
        <w:t>Die Vorinstanz hat allerdings den Verzicht auf eine Befragung in der angefochtenen Verfügung nicht begründet, was vor dem Hintergrund der genannten Rechtsprechung des Bundesverwaltungsgerichts einer Verletzung des rechtlichen Gehörs gleichkommt. Angesichts des vorab deklaratorischen Charakters der diesbezüglichen Begründungspflicht und unter Berücksichtigung der Gegebenheiten des konkreten Einzelfalles erscheint die Gehörsverletzung indessen nicht schwerwiegend; insbesondere hat sie die Möglichkeit des Beschwerdeführers, die Verfügung vom 15. April 2010 sachgerecht anfechten zu können, in keiner Weise beeinträchtigt. Eine Aufhebung der angefochtenen Verfügung aus formellen Gründen käme demnach einem blossen prozessualen Leerlauf gleich, weshalb der Mangel durch die im vorliegenden Beschwerdeentscheid nachgereichte Begründung als geheilt zu bezeichnen ist. Es bleibt somit im Folgenden zu prüfen, ob das Bundesamt das Asylgesuch in materieller Hinsicht zu Recht abgewiesen und dem Beschwerdeführer die Einreise in die Schweiz verweigert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der Beschwerdeführer habe in seinem Gesuch keine besonders nahen Beziehungen zur Schweiz geltend gemacht. Im Weiteren hat das Bundesamt zu Recht erwogen, dass es ihm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dem Beschwerdeführer praktisch unmöglich oder objektiv unzumutbar, sich in einen anderen Staat, insbesondere einen der Nachbarstaaten Kolumbiens, zu begeben (vgl. EMARK 2004 Nr. 20 sowie 1997 Nr. 15, Erw. 2f, S. 132). Dies gilt umso mehr, als aus den Akten ersichtlich ist, dass es sich beim Beschwerdeführer nicht um eine landesweit bekannte Persönlichkeit handelt, die aufgrund ihrer besonders exponierten Stellung auch bei einer Flucht ins nahe Ausland allenfalls befürchten müsste, weiterhin verfolgt zu werden. An dieser Einschätzung vermag der Einwand des Beschwerdeführers, er sei den Chefs der FARC als Folge seiner Wasserabfüllanlage bestens bekannt, nichts zu ändern, da er diesbezüglich nur mit den lokalen Vertretern der FARC in Kontakt gekommen sein kann, was eine landesweite Bekanntheit ausschliesst. Vor diesem Hintergrund vermögen die Entgegnungen des Beschwerdeführers, wonach er keine Möglichkeit sehe, in einem anderen lateinamerikanischen Staat um Schutz nachzusuchen, da in diesen Ländern dieselben Probleme wie in Kolumbien herrschten, diese Länder mit Kolumbien Probleme hätten, die FARC auch dort anwesend sei und die Menschenrechte nicht geachtet würden, zu keiner anderen Einschätzung zu führen.</w:t>
      </w:r>
    </w:p>
    <w:p>
      <w:r>
        <w:rPr>
          <w:b/>
        </w:rPr>
        <w:t>E. 6.2</w:t>
      </w:r>
    </w:p>
    <w:p>
      <w:r>
        <w:t>Bei dieser Sachlage kann letztlich offen bleiben, ob sich der Beschwerdeführer den Bedrohungen durch die FARC allenfalls durch eine innerstaatliche Wohnsitzverlegung entziehen könnte. Indessen ist - in Übereinstimmung mit der Argumentation des BFM - festzustellen, dass er keine konkrete Gefährdung seiner Person in G.__________ geltend machte, womit er indirekt belegt, dass ihm dort keine Nachteile drohen. Zudem hat er gestützt auf die bestehende Aktenlage die Behörden seines Heimatlandes nicht um Schutz ersucht, obwohl keine Anhaltspunkte dafür ersichtlich sind, dass ihm der Zugang zu den Behörden nicht gewährt würde oder nicht als zumutbar zu erachten wäre.</w:t>
      </w:r>
    </w:p>
    <w:p>
      <w:r>
        <w:rPr>
          <w:b/>
        </w:rPr>
        <w:t>E. 6.3</w:t>
      </w:r>
    </w:p>
    <w:p>
      <w:r>
        <w:t>Nach dem Gesagten ist zusammenfassend festzuhalten, dass der Beschwerdeführer aufgrund der Akten über keine Beziehungsnähe zur Schweiz verfügt, hingegen die Möglichkeit der anderweitigen Schutzsuche hat. Unter diesen Umständen hat die Vorinstanz dem Beschwerdeführer zu Recht die Erteilung der Einreisebewilligung verweigert und das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