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D-5369/2010 vom 7. September 2010</w:t>
      </w:r>
    </w:p>
    <w:p>
      <w:r>
        <w:t>Bundesverwaltungsgericht, 2010-09-07, DE</w:t>
      </w:r>
    </w:p>
    <w:p>
      <w:r>
        <w:rPr>
          <w:b/>
        </w:rPr>
        <w:t xml:space="preserve">Quelle: </w:t>
      </w:r>
      <w:r>
        <w:t>https://mcp.opencaselaw.ch/entscheid/bvger_D-5369_2010</w:t>
      </w:r>
    </w:p>
    <w:p>
      <w:r>
        <w:t>FR: TAF D-5369/2010 du 7 septembre 2010</w:t>
      </w:r>
    </w:p>
    <w:p>
      <w:r>
        <w:t>IT: TAF D-5369/2010 del 7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Beschwerdeeingabe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sodann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 der Beschwerdeführer von der schweizerischen Vertretung in Bogotá zu seinem Asylgesuch vom 10. Juli 2008 nicht befragt, da die Botschaft dazu gemäss Überweisungsschreiben vom 11. November 2008 aus gerichtsnotorischen und mithin nachvollziehbaren Kapazitätsgründen nicht in der Lage war; dem Beschwerdeführer wurde indessen mit Zwischenverfügung des BFM vom 15. März 2010 Gelegenheit zur weiteren Konkretisierung seiner Asylgründe sowie das rechtliche Gehör im Hinblick auf die in Erwägung gezogene Abweisung des Asylgesuches gewährt; der Beschwerdeführer hat mit Eingabe vom 28. April 2010 von dieser Möglichkeit Gebrauch gemacht. Aufgrund der einlässlichen Ausführungen des Beschwerdeführers in seinem schriftlichen Asylgesuch und den weiteren Eingaben sowie der zahlreichen von ihm eingereichten Beweismittel erscheint sodann der entscheidwesentliche Sachverhalt - wie das BFM in der angefochtenen Verfügung zu Recht ausführt - als genüglich abgeklärt. Schliesslich hat das BFM in seiner Verfügung vom 19. Mai 2010 das Absehen von einer persönlichen Anhörung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der Beschwerdeführer in seinem Gesuch keine besonders nahen Beziehungen zur Schweiz geltend gemacht hat. Im Weiteren hat das Bundesamt zu Recht erwogen, dass es dem Beschwerdeführer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und der Beschwerdeführer zu Recht auf gewisse Spannungen zwischen Kolumbien und seinen Nachbarstaaten Venezuela und Ecuador hinweist; diese Begebenheiten ändern indessen nichts an der Tatsache, dass kolumbianische Staatsangehörige in diesen Ländern bei Bedarf um Schutz nachsuchen können.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und materielle Unterstützung erhalten; der Einwand des Beschwerdeführers, wonach er sich wegen fehlender finanzieller Mittel nicht im Ausland niederlassen könne, schlägt demnach fehl. Insgesamt ergeben sich somit keine Anhaltspunkte, die darauf schliessen liessen, es sei dem Beschwerdeführer praktisch unmöglich oder objektiv unzumutbar, sich in einen anderen Staat, insbesondere einen der Nachbarstaaten Kolumbiens, zu begeben (vgl. EMARK 2004 Nr. 20 sowie 1997 Nr. 15 E. 2f S. 132). Dies gilt umso mehr, als aus den Akten ersichtlich ist, dass es sich beim Beschwerdeführer nicht um eine landesweit bekannte Persönlichkeit handelt, die aufgrund ihrer besonders exponierten Stellung auch bei einer Flucht ins nahe Ausland allenfalls befürchten müsste, weiterhin verfolgt zu werden.</w:t>
      </w:r>
    </w:p>
    <w:p>
      <w:r>
        <w:rPr>
          <w:b/>
        </w:rPr>
        <w:t>E. 6.2</w:t>
      </w:r>
    </w:p>
    <w:p>
      <w:r>
        <w:t>Bei dieser Sachlage kann letztlich offen bleiben, ob sich der Beschwerdeführer den geltend gemachten Bedrohungen allenfalls durch eine innerstaatliche Wohnsitzverlegung dauerhaft entziehen könnte.</w:t>
      </w:r>
    </w:p>
    <w:p>
      <w:r>
        <w:rPr>
          <w:b/>
        </w:rPr>
        <w:t>E. 6.3</w:t>
      </w:r>
    </w:p>
    <w:p>
      <w:r>
        <w:t>Nach dem Gesagten ist zusammenfassend festzuhalten, dass der Beschwerdeführer aufgrund der Akten über keine konkrete Beziehungsnähe zur Schweiz verfügt, hingegen die Möglichkeit der anderweitigen Schutzsuche hat. Unter diesen Umständen hat die Vorinstanz dem Beschwerdeführer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dem Beschwerdeführer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