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D-5360/2025 vom 17. Juni 2025</w:t>
      </w:r>
    </w:p>
    <w:p>
      <w:r>
        <w:t>Bundesverwaltungsgericht, 2025-06-17, DE</w:t>
      </w:r>
    </w:p>
    <w:p>
      <w:r>
        <w:rPr>
          <w:b/>
        </w:rPr>
        <w:t xml:space="preserve">Quelle: </w:t>
      </w:r>
      <w:r>
        <w:t>https://mcp.opencaselaw.ch/entscheid/bvger_D-5360_2025_d20250617</w:t>
      </w:r>
    </w:p>
    <w:p>
      <w:r>
        <w:t>FR: TAF D-5360/2025 du 17 juin 2025</w:t>
      </w:r>
    </w:p>
    <w:p>
      <w:r>
        <w:t>IT: TAF D-5360/2025 del 17 giugno 2025</w:t>
      </w:r>
    </w:p>
    <w:p>
      <w:pPr>
        <w:pStyle w:val="Heading2"/>
      </w:pPr>
      <w:r>
        <w:t>Regeste</w:t>
      </w:r>
    </w:p>
    <w:p>
      <w:r>
        <w:t>Asyl und Wegweisung | Asyl und Wegweisung; Verfügung des SEM vom 17.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das rechtliche Gehör verletzt, indem sie den Sachverhalt nicht rechtsgenüglich festgestellt habe. Diese formelle Rüge ist vorab zu prüfen, da ihre Begründetheit die Kassation der vorinstanzlichen Verfügung bewirken könnte. 4.24.2.1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4.2.2 Die Rüge erweist sich als unbegründet. Die Vorinstanz hat den rechtserheblichen Sachverhalt rechtsgenüglich festgestellt, das Dossier des Bruders beigezogen (vgl. angefochtene Verfügung S. 5), ihren Entscheid in tatsächlicher und rechtlicher Hinsicht nachvollziehbar begründet und im Einzelnen hinreichend differenziert dargelegt, von welchen Überlegungen sie sich leiten liess (vgl. angefochtene Verfügung S. 5 ff.). Der Beschwerdeführer legt keine konkreten Anhaltspunkte dar, welche Zweifel an der vorinstanzlichen Sachverhaltsfeststellung zu begründen vermöchten und es ist auch aus den im Rahmen der Beschwerde eingereichten Beweismitteln sowie der persönlichen Stellungnahme des Beschwerdeführers nicht ersichtlich, inwiefern diesen im vorliegenden Verfahren entscheidrelevante Bedeutung zukommen soll (vgl. Beschwerde S. 4 ff.). Seine Einwände sind nicht geeignet, eine flüchtlingsrechtlich relevante Gefährdung zu belegen.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4.1</w:t>
      </w:r>
    </w:p>
    <w:p>
      <w:r>
        <w:t>Der Beschwerdeführer rügt in formeller Hinsicht, die Vorinstanz habe das rechtliche Gehör verletzt, indem sie den Sachverhalt nicht rechts- genüglich festgestellt habe. Diese formelle Rüge ist vorab zu prüfen, da ihre Begründetheit die Kassation der vorinstanzlichen Verfügung bewirken könnte.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w:t>
      </w:r>
    </w:p>
    <w:p>
      <w:r>
        <w:t>D-5360/2025 Seite 6 auseinandersetzt und jedes einzelne Vorbringen ausdrücklich widerlegt (vgl. BGE 143 III 65 E. 5.2).</w:t>
      </w:r>
    </w:p>
    <w:p>
      <w:r>
        <w:rPr>
          <w:b/>
        </w:rPr>
        <w:t>E. 4.2.2</w:t>
      </w:r>
    </w:p>
    <w:p>
      <w:r>
        <w:t>Die Rüge erweist sich als unbegründet. Die Vorinstanz hat den rechtserheblichen Sachverhalt rechtsgenüglich festgestellt, das Dossier des Bruders beigezogen (vgl. angefochtene Verfügung S. 5), ihren Ent- scheid in tatsächlicher und rechtlicher Hinsicht nachvollziehbar begründet und im Einzelnen hinreichend differenziert dargelegt, von welchen Überle- gungen sie sich leiten liess (vgl. angefochtene Verfügung S. 5 ff.). Der Be- schwerdeführer legt keine konkreten Anhaltspunkte dar, welche Zweifel an der vorinstanzlichen Sachverhaltsfeststellung zu begründen vermöchten und es ist auch aus den im Rahmen der Beschwerde eingereichten Be- weismitteln sowie der persönlichen Stellungnahme des Beschwerdefüh- rers nicht ersichtlich, inwiefern diesen im vorliegenden Verfahren ent- scheidrelevante Bedeutung zukommen soll (vgl. Beschwerde S. 4 ff.). Seine Einwände sind nicht geeignet, eine flüchtlingsrechtlich relevante Ge- fährdung zu belegen.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 zung anderer Verfahrensrechte erkennbar.</w:t>
      </w:r>
    </w:p>
    <w:p>
      <w:r>
        <w:rPr>
          <w:b/>
        </w:rPr>
        <w:t>E. 4.3</w:t>
      </w:r>
    </w:p>
    <w:p>
      <w:r>
        <w:t>Folglich rechtfertigt sich eine Rückweisung der Sache an die Vorinstanz zur Neubeurteilung nicht. Das 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D-5360/2025 Seite 7 Tatsachen nicht entsprechen oder massgeblich auf gefälschte oder ver- fälschte Beweismittel abgestützt werden (Art. 7 AsylG).</w:t>
      </w:r>
    </w:p>
    <w:p>
      <w:r>
        <w:rPr>
          <w:b/>
        </w:rPr>
        <w:t>E. 5.3</w:t>
      </w:r>
    </w:p>
    <w:p>
      <w:r>
        <w:t>Nach eingehender Prüfung der Akten ist festzustellen, dass die Vor- bringen des Beschwerdeführers die Voraussetzungen der Flüchtlingsei- genschaft gemäss Art. 3 AsylG nicht erfüllen. In tatsächlicher und rechtli- cher Hinsicht ist den Erwägungen der Vorinstanz zu folgen; auf diese kann verwiesen werden (vgl. angefochtene Verfügung S. 5 ff.). Die vorinstanzli- che Schlussfolgerung ist nicht zu beanstanden. Die Beschwerdevorbringen sind nicht geeignet, zu einer von der Vorinstanz abweichenden Betrach- tungsweise zu gelangen.</w:t>
      </w:r>
    </w:p>
    <w:p>
      <w:r>
        <w:rPr>
          <w:b/>
        </w:rPr>
        <w:t>E. 5.4</w:t>
      </w:r>
    </w:p>
    <w:p>
      <w:r>
        <w:t>5.4.1 Sofern der Beschwerdeführer rügt, die Vorinstanz habe die mit Eingabe vom 12. April 2024 eingereichten Beweismittel pauschal als Fälschungen qualifiziert, ist ihm entgegenzuhalten, dass die Vorinstanz in korrekter Anwendung der Rechtsprechung des Bundesverwaltungsgerichts gehandelt hat. Sie hat zutreffend auf die allgemeine Problematik hingewiesen, dass türkische Justizdokumente ohne verifizierbare Sicherheitsmerkmale leicht fälschbar oder durch Korruption käuflich erwerbbar sind und ihnen daher nur ein geringer Beweiswert zukommt. In Anwendung dieser gefestigten Praxis (vgl. Referenzurteil des BVGer E-4103/2024 vom 8. November 2024 E. 9.6; Urteil des BVGer E-1067/2023 vom 24. April 2024, E. 7.2), ist es nicht zu beanstanden, wenn die Vorinstanz die Echtheit der Dokumente offenliess, zumal sie ihre Schlussfolgerung der Unglaubhaftigkeit massgeblich und zutreffend auf die widersprüchlichen und unsubstantiierten Aussagen des Beschwerdeführers selbst stützte.</w:t>
      </w:r>
    </w:p>
    <w:p>
      <w:r>
        <w:rPr>
          <w:b/>
        </w:rPr>
        <w:t>E. 5.4.1</w:t>
      </w:r>
    </w:p>
    <w:p>
      <w:r>
        <w:t>Sofern der Beschwerdeführer rügt, die Vorinstanz habe die mit Ein- gabe vom 12. April 2024 eingereichten Beweismittel pauschal als Fäl- schungen qualifiziert, ist ihm entgegenzuhalten, dass die Vorinstanz in kor- rekter Anwendung der Rechtsprechung des Bundesverwaltungsgerichts gehandelt hat. Sie hat zutreffend auf die allgemeine Problematik hingewie- sen, dass türkische Justizdokumente ohne verifizierbare Sicherheitsmerk- male leicht fälschbar oder durch Korruption käuflich erwerbbar sind und ihnen daher nur ein geringer Beweiswert zukommt. In Anwendung dieser gefestigten Praxis (vgl. Referenzurteil des BVGer E-4103/2024 vom 8. No- vember 2024 E. 9.6; Urteil des BVGer E-1067/2023 vom 24. April 2024, E. 7.2), ist es nicht zu beanstanden, wenn die Vorinstanz die Echtheit der Dokumente offenliess, zumal sie ihre Schlussfolgerung der Unglaubhaf- tigkeit massgeblich und zutreffend auf die widersprüchlichen und unsub- stantiierten Aussagen des Beschwerdeführers selbst stützte.</w:t>
      </w:r>
    </w:p>
    <w:p>
      <w:r>
        <w:rPr>
          <w:b/>
        </w:rPr>
        <w:t>E. 5.4.2</w:t>
      </w:r>
    </w:p>
    <w:p>
      <w:r>
        <w:t>Soweit der Beschwerdeführer auf Beschwerdeebene neue Beweis- mittel, insbesondere einen weiteren Geheimhaltungsbeschluss und einen Festnahmebefehl vom (…), einreicht, vermag er daraus nichts zu seinen Gunsten abzuleiten. Unabhängig von der Echtheit dieser neuen Doku- mente, die ohnehin nach der Ausreise datieren, sprechen gewichtige Indi- zien gegen eine akute, fahndungsrelevante Verfolgung zum Zeitpunkt der Ausreise selbst. Entscheidend ist der Umstand der legalen und unbehellig- ten Ausreise des Beschwerdeführers am (…), wo unter Vorweisung seines eigenen Reisepasses problemlos von D._______ nach F._______ ausflie- gen konnte (vgl. SEM-act. 16/18 F42 f., 68). Dass er die Grenzkontrolle ohne Anhaltung passieren konnte, spricht gegen die Existenz einer zu die- sem Zeitpunkt wirksamen Fahndung und widerlegt die Annahme eines ak- tuellen Verfolgungsinteresses der türkischen Behörden. Diese Einschät- zung wird dadurch erhärtet, dass ihm am (…) – zwei Tage nach seiner</w:t>
      </w:r>
    </w:p>
    <w:p>
      <w:r>
        <w:t>D-5360/2025 Seite 8 Ausreise – in einem anderen, nicht-politischen Verfahren (Betäubungsmit- tel) eine staatliche Entschädigung zugesprochen wurde. Die neuen Doku- mente stützen zwar die Behauptung, dass irgendwelche Verfahren gegen den Beschwerdeführer hängig sein sollen, sie heilen jedoch die Widersprü- che in den Aussagen des Beschwerdeführers oder die Unlogik seiner lega- len Ausreise angesichts der angeblich bereits (…) bekannten Verfolgung nicht (vgl. SEM-act. 16/18 F92).</w:t>
      </w:r>
    </w:p>
    <w:p>
      <w:r>
        <w:rPr>
          <w:b/>
        </w:rPr>
        <w:t>E. 5.4.3</w:t>
      </w:r>
    </w:p>
    <w:p>
      <w:r>
        <w:t>Hinsichtlich der Rüge, die Vorinstanz habe die Vorbringen des Be- schwerdeführers zu den Strafverfahren zu Unrecht als unglaubhaft einge- stuft, ist den überzeugenden Erwägungen der Vorinstanz zu folgen. Es ist nicht nachvollziehbar, dass der Beschwerdeführer die angeblich gegen ihn laufenden Strafverfahren und Festnahmebefehle – welche den Kern seiner aktuellen Gefährdung darstellen müssten – in seiner freien Rede zu den Ausreisegründen (vgl. SEM-act. 16/18 F75 ff.) mit keinem Wort erwähnte. Das Vorbringen auf Beschwerdeebene, er sei nur nach den unmittelbaren Gründen gefragt worden, überzeugt nicht; es widerspricht der allgemeinen Lebenserfahrung, dass eine Person, die von angeblich hängigen Festnah- mebefehlen wegen Terrorismus weiss, dies nicht als Hauptgrund für ihre Flucht und als Hauptbefürchtung nennt. Die Vorbringen wurden erst auf explizite Nachfrage der Vorinstanz zu den eingereichten Dokumenten the- matisiert (vgl. SEM-act. 16/18 F84). Darüber hinaus hat die Vorinstanz zutreffend auf wesentliche Widersprü- che in den Aussagen des Beschwerdeführers hingewiesen. So behauptete der Beschwerdeführer zunächst, bei den drei getöteten Guerillakämpfern sei ein Zettel gefunden worden, auf dem auch sein Name gestanden habe (vgl. SEM-act. 16/18 F79). Auf spezifische Nachfrage zu den Verfahrens- vorwürfen nannte er jedoch nur noch die Namen seiner Cousins (vgl. SEM-act. 16/18 F88). Der Versuch, dies auf Beschwerdeebene als Missverständnis darzustellen, verfängt angesichts der Klarheit der Aus- sage nicht. Ebenso blieben seine Ausführungen zu den angeblichen Ver- fahren unsubstantiiert (vgl. SEM-act. 16/18 F86 f., 93). Ein weiteres Glaubhaftigkeitsdefizit ergibt sich aus dem Umstand, dass der Beschwerdeführer wesentliche Aspekte seiner justiziellen Vorgeschichte verschwiegen hat. Wie den erst nach der Anhörung nachgereichten Be- weismitteln (BM 17–19) zu entnehmen ist, war gegen ihn ein Strafverfah- ren wegen Betäubungsmitteldelikten hängig, in welchem er (offenbar nach einer Inhaftierung) mit Urteil vom (…) rechtskräftig freigesprochen und ihm am (…) eine Entschädigung zugesprochen wurde. Dass der Beschwerde- führer dieses Verfahren und die damit verbundene Inhaftierung in seiner</w:t>
      </w:r>
    </w:p>
    <w:p>
      <w:r>
        <w:t>D-5360/2025 Seite 9 gesamten, ausführlichen Anhörung mit keiner Silbe erwähnt hat, lässt seine gesamten Vorbringen als selektiv und potenziell manipulativ erschei- nen.</w:t>
      </w:r>
    </w:p>
    <w:p>
      <w:r>
        <w:rPr>
          <w:b/>
        </w:rPr>
        <w:t>E. 5.4.4</w:t>
      </w:r>
    </w:p>
    <w:p>
      <w:r>
        <w:t>Sofern der Beschwerdeführer seine Vorverfolgung rügt, ist festzustel- len, dass die Vorinstanz diese korrekt gewürdigt hat. Den Vorfällen aus sei- ner Kindheit (vgl. SEM-act. 16/18 F78) sowie den Ereignissen von (…) (Newroz-Festnahme, Kobane-Hilfe; vgl. SEM-act. 16/18 F58 f., 69, 75) fehlt die erforderliche zeitliche Aktualität, zumal sie rund (…) Jahre vor der Aus- reise lagen und kein fluchtrelevanter Kausalzusammenhang ersichtlich ist. Bezüglich der Übergriffe in den Jahren (…) (vgl. SEM-act. 16/18 F78) und September (…) (vgl. SEM-act. 16/18 F81) ist anzuerkennen, dass diese subjektiv äusserst belastend sein können. Jedoch hat der Beschwerdefüh- rer selbst dargelegt, dass er sich dem Vorfall von (…) durch einen Umzug nach D._______ entziehen konnte und danach zweieinhalb Jahre unbe- helligt blieb (vgl. SEM-act. 16/18 F79). Dies belegt die Existenz einer in- nerstaatlichen Schutzalternative. Bezüglich des Vorfalls im September (…) unterliess es der Beschwerdeführer, den ihm offenstehenden Rechtsweg zu beschreiten, obwohl er aus dem Entschädigungsverfahren wusste, wie man erfolgreich gegen staatliches Unrecht vorgeht. Diese Vorfälle begrün- den daher keine aktuelle Asylrelevanz.</w:t>
      </w:r>
    </w:p>
    <w:p>
      <w:r>
        <w:rPr>
          <w:b/>
        </w:rPr>
        <w:t>E. 5.4.5</w:t>
      </w:r>
    </w:p>
    <w:p>
      <w:r>
        <w:t>Hinsichtlich des geltend gemachten politischen Profils des Beschwer- deführers durch Unterstützung seines Cousins (vgl. SEM-act. 16/18 F56, 78) sind die Angaben des Beschwerdeführers in sich widersprüchlich. Ei- nerseits gab er an, er sei ab (…) «vollständig in der Politik» gewesen zu sein und deshalb nicht mehr viel habe arbeiten können (vgl. SEM- act. 16/18 F38). Andererseits relativierte er diese Darstellung, indem er an anderer Stelle ausführte, er sei nach den Vorfällen von (…) nach D._______ zurückgekehrt und sei seither nicht mehr politisch aktiv gewe- sen (vgl. SEM-act. 16/18 F79). Diese diametral entgegengesetzten Aussa- gen zu seiner eigenen politischen Aktivität in den Jahren vor der Ausreise lassen seine Vorbringen als inkonsistent erscheinen. Sie stützen die Ein- schätzung der Vorinstanz, dass sein Profil – er war auch nie formelles Mit- glied der Halkların Demokratik Partisi (HDP; vgl. SEM-act. 16/18 F83) – als niederschwellig einzustufen ist.</w:t>
      </w:r>
    </w:p>
    <w:p>
      <w:r>
        <w:rPr>
          <w:b/>
        </w:rPr>
        <w:t>E. 5.4.6</w:t>
      </w:r>
    </w:p>
    <w:p>
      <w:r>
        <w:t>Was schliesslich die generell behaupteten erlittenen Nachteile oder Diskriminierungen aufgrund der ethnischen Zugehörigkeit (Kurde) und der Religionszugehörigkeit des Beschwerdeführers anbelangt, hat die Vor- instanz zutreffend festgestellt, dass es sich bei diesen nicht um ernsthafte Nachteile im Sinne des Asylgesetzes handelt, die einen Verbleib im</w:t>
      </w:r>
    </w:p>
    <w:p>
      <w:r>
        <w:t>D-5360/2025 Seite 10 Heimatland verunmöglicht oder unzumutbar erschwert hätten. Der Be- schwerdeführer konnte trotz dieser behaupteten Nachteile in der Türkei aufwachsen, eine Schule besuchen (vgl. SEM-act. 16/18 F32) und ver- schiedenen, finanziell erfolgreichen Arbeitstätigkeiten nachgehen (vgl. SEM-act. 16/18 F34, 38, 40 f.). Die vom Beschwerdeführer konkret geltend gemachten Vorkommnisse (vgl. SEM-act. 16/18 F78) gehen in ihrer Inten- sität nicht über die Schikanen hinaus, welche weite Teile der kurdischen Bevölkerung in der Türkei in ähnlicher Weise treffen können. Im Übrigen stellt das Bundesverwaltungsgericht in konstanter Praxis sehr hohe Anfor- derungen an die Bejahung einer Kollektivverfolgung, die im Fall der Kurden in der Türkei – auch unter Berücksichtigung der aktuellen politischen Ent- wicklungen – nicht erfüllt sind (vgl. zum Ganzen das Referenzurteil des BVGer E-4103/2024 vom 8. November 2024 E. 6.1, 8.1).</w:t>
      </w:r>
    </w:p>
    <w:p>
      <w:r>
        <w:rPr>
          <w:b/>
        </w:rPr>
        <w:t>E. 5.5</w:t>
      </w:r>
    </w:p>
    <w:p>
      <w:r>
        <w:t>Zusammenfassend ist festzuhalten, dass die zentralen Vorbringen des Beschwerdeführers die Anforderungen an die Glaubhaftigkeit gemäss Art. 7 AsylG nicht erfüllen. Sodann liegen keine konkreten Hinweise darauf vor, dass der Beschwerdeführer einer asylbeachtlichen Verfolgung oder ei- ner entsprechenden Verfolgungsgefahr ausgesetzt war oder im Falle sei- ner Rückkehr in die Türkei ernsthafte Nachteile im Sinne von Art. 3 Abs. 2 AsylG zu gewärtigen hätte. Folglich hat die Vorinstanz zu Recht die Flücht- lingseigenschaft verneint und das Asylgesuch abgelehnt. Das Eventualbe- gehren ist abzuweisen.</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D-5360/2025 Seite 11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7.3.1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Weder die allgemeine Lage in der Türkei noch individuelle Gründe wirtschaftlicher oder sozialer Natur lassen auf eine konkrete Gefährdung des Beschwerdeführers im Fall einer Rückkehr schliessen. In diesem Zu- sammenhang kann vollumfänglich auf die zutreffenden und überzeugen- den Erwägungen der Vorinstanz verwiesen werden (vgl. angefochtene Ver- fügung S. 10 f.). Der Beschwerdeführer verfügt über langjährige Berufser- fahrung in verschiedenen Branchen (vgl. SEM-act. 16/18 F34 ff.); seine fi- nanzielle Lage in der Türkei war nach eigenen Angaben gut (vgl. SEM- act. 16/18 F31, 39). Aufgrund seines Alters und seiner Berufserfahrungen ist davon auszugehen, dass er eine Erwerbstätigkeit aufnehmen kann und bei einer Rückkehr in die Türkei in keine existenzbedrohende Notlage ge- raten dürfte. Zudem verfügt der Beschwerdeführer in der Türkei über ein grosses familiäres und soziales Beziehungsnetz (vgl. SEM-act. 16/18 F17 ff.), auf dessen Unterstützung er auch künftig zählen dürfte.</w:t>
      </w:r>
    </w:p>
    <w:p>
      <w:r>
        <w:rPr>
          <w:b/>
        </w:rPr>
        <w:t>E. 7.3.3</w:t>
      </w:r>
    </w:p>
    <w:p>
      <w:r>
        <w:t>Auf Unzumutbarkeit des Wegweisungsvollzugs aus medizinischen Gründen ist nach Lehre und konstanter Praxis dann zu schliessen, wenn</w:t>
      </w:r>
    </w:p>
    <w:p>
      <w:r>
        <w:t>D-5360/2025 Seite 12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7.3.4</w:t>
      </w:r>
    </w:p>
    <w:p>
      <w:r>
        <w:t>Die in den Akten dokumentierten psychischen Leiden (…) stellen zwar einen klaren Behandlungsbedarf dar, indessen ist weder eine akut vitale Gefährdung noch eine Situation ausgewiesen, die bei der Rückkehr zu einer raschen, irreversiblen und lebensbedrohlichen Gesundheitsbeein- trächtigung führen würde. Vor diesem Hintergrund durfte die Vorinstanz in antizipierter Beweiswürdigung schliessen, dass weitergehende medizini- sche Abklärungen den Ausgang nicht zu beeinflussen vermöchten und da- rauf verzichten (vgl. BVGE 2011/50 E. 8.3; BVGE 2009/2 E. 9.3.1; Urteil des BVGer D-3812/2019 vom 15. August 2019 E. 5.1). Damit bestehen vorliegend keine gesundheitlichen Gründe, die einer Rück- kehr entgegenstünden, zumal davon auszugehen ist, dass die beim Be- schwerdeführer diagnostizierten Leiden auch in der Türkei behandelt wer- den können. Das dortige Gesundheitswesen entspricht grundsätzlich west- europäischen Standards (vgl. Urteil des BVGer D-7282/2023 vom 6. Feb- ruar 2024 E. 8.3.5) und verfügt über entsprechende Einrichtungen, die eine adäquate medizinische beziehungsweise medikamentöse Versorgung für die genannten Beeinträchtigungen sicherstellen. Zudem ist davon auszu- gehen, dass dem Beschwerdeführer das türkische Gesundheitssystem be- kannt und er in der Lage ist, dieses zu nutzen. Es ist deshalb nicht anzu- nehmen, seine Rückkehr in die Türkei würde zu einer Beeinträchtigung sei- nes Gesundheitszustandes führen.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w:t>
      </w:r>
    </w:p>
    <w:p>
      <w:r>
        <w:t>D-5360/2025 Seite 13 vorläufigen Aufnahme fällt somit ausser Betracht (Art. 83 Abs. 1–4 AIG). Das Subeventualbegehren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Der Beschwerdeführer ersucht um Gewährung der unentgeltlichen Prozessführung im Sinne von Art. 65 Abs. 1 VwVG. Da seine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9.1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Das Ge- such ist daher abzuweisen. Aus demselben Grund ist auch dem Gesuch um amtliche Rechtsverbeiständung gemäss Art. 65 Abs. 2 VwVG nicht zu entsprechen.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werden die Anträge auf Kostenvorschussver- zicht und Sistierung gegenstandslos.</w:t>
      </w:r>
    </w:p>
    <w:p>
      <w:r>
        <w:t>(Dispositiv nächste Seite)</w:t>
      </w:r>
    </w:p>
    <w:p>
      <w:r>
        <w:t>D-5360/2025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