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D-5359/2014 vom 20. April 2015</w:t>
      </w:r>
    </w:p>
    <w:p>
      <w:r>
        <w:t>Bundesverwaltungsgericht, 2015-04-20, DE</w:t>
      </w:r>
    </w:p>
    <w:p>
      <w:r>
        <w:rPr>
          <w:b/>
        </w:rPr>
        <w:t xml:space="preserve">Quelle: </w:t>
      </w:r>
      <w:r>
        <w:t>https://mcp.opencaselaw.ch/entscheid/bvger_D-5359_2014</w:t>
      </w:r>
    </w:p>
    <w:p>
      <w:r>
        <w:t>FR: TAF D-5359/2014 du 20 avril 2015</w:t>
      </w:r>
    </w:p>
    <w:p>
      <w:r>
        <w:t>IT: TAF D-5359/2014 del 20 aprile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Der Beschwerdeführer ist zur Beschwerdeführung legitimiert (Art. 48 Abs. 1 VwVG), zumal er als Gastgeber der Gesuchstellenden in eigenem Namen gegen die ablehnenden Visa-Entscheide vom 7. März 2014 Ein­sprache erhoben hat und Adressat des angefochtenen Entscheids der Vor-instanz ist (vgl. BVGE 2014/1 E. 1.3). Auf die frist- und formgerecht eingereichte Beschwerde (vgl. Bst. G) ist somit einzutreten (Art. 50 und 52 VwVG).</w:t>
      </w:r>
    </w:p>
    <w:p>
      <w:r>
        <w:rPr>
          <w:b/>
        </w:rPr>
        <w:t>E. 2</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w:t>
      </w:r>
    </w:p>
    <w:p>
      <w:r>
        <w:rPr>
          <w:b/>
        </w:rPr>
        <w:t>E. 3.1</w:t>
      </w:r>
    </w:p>
    <w:p>
      <w:r>
        <w:t>Gemäss Art. 12 VwVG stellt die zuständige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Der Untersuchungsgrundsatz umfasst auch die Beweisführungslast (Beweisführungspflicht). Das SEM ist deshalb verpflichtet, nicht nur zu denjenigen Sachverhaltselementen Beweis zu führen, welche die asylsuchende Person belasten, sondern auch zu denjenigen Elementen, welche sie begünstigen. Das Bundesamt bedient sich dazu der in Art. 12 VwVG genannten Beweismittel. Die Beweisführungslast wird durch die Mitwirkungs­pflicht der Parteien begrenzt, die insbesondere verpflichtet sind, relevante Beweismittel anzubieten (vgl. Christoph Auer, in: Auer/Müller/Schindler [Hrsg.], Kommentar zum Bundesgesetz über das Verwaltungsverfahren [VwVG], Zürich 2008, Rz. 15 zu Art. 12; Krauskopf/Emmenegger, in: Praxiskommentar VwVG, Waldmann/ Weissenberger (Hrsg.), Zürich 2009, Art. 12 N 20 ff.). Verletzungen des Untersuchungsgrundsatzes nach Art. 12 VwVG stellen Verletzungen von Bundesrecht dar. Derartige Verletzungen können zudem ergeben, dass die Behörden den rechtserheblichen Sachverhalt unrichtig und unvollständig festgestellt haben (vgl. Krauskopf/Emmenegger, a.a.O., Art. 12 N 18 und 34).</w:t>
      </w:r>
    </w:p>
    <w:p>
      <w:r>
        <w:rPr>
          <w:b/>
        </w:rPr>
        <w:t>E. 3.2</w:t>
      </w:r>
    </w:p>
    <w:p>
      <w:r>
        <w:t>Die Parteien haben zudem ein aus dem Anspruch auf rechtliches Gehör fliessendes Recht, an der Erstellung des Sachverhaltes mitzuwirken (Art. 29 Abs. 2 [BV] und Art. 26 ff. VwVG). Aus dem Anspruch auf rechtliches Gehör ergibt sich als Ausfluss von dessen Teilgehalt, mit eigenen Begehren gehört zu werden, ein Anspruch der Parteien darauf, dass ihren Anträgen auf Abnahme von tauglichen und sachdienlichen Beweisen stattgegeben wird. Die Behörde muss jedoch nur diejenigen Beweise erheben, die sie für die Feststellung des Sachverhaltes als tauglich erachtet (Art. 33 Abs. 1 VwVG). Der Grundsatz des rechtlichen Gehörs beinhaltet zudem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w:t>
      </w:r>
    </w:p>
    <w:p>
      <w:r>
        <w:rPr>
          <w:b/>
        </w:rPr>
        <w:t>E. 4.1</w:t>
      </w:r>
    </w:p>
    <w:p>
      <w:r>
        <w:t>Der Beschwerdeführer reichte anlässlich seines Gesuchs einen Arztbericht und ein Arztzeugnis seines Bruders C._______ ein (vgl. Vorakten S. 40 ff.) und führte in seiner Einsprache gegen den ablehnenden Entscheid des Generalkonsulats vom 26. Juli 2014 aus, dieser sei sehr krank und um zu überleben brauche er dringend medizinische Hilfe. In seiner Beschwerdeschrift vom 19. September 2014 weist der Beschwerdeführer erneut auf den Gesundheitszustand seines Bruders hin und stellt sich auf den Standpunkt, aufgrund seines Gesundheitszustandes könne ein humanitäres Visum erteilt werden.</w:t>
      </w:r>
    </w:p>
    <w:p>
      <w:r>
        <w:rPr>
          <w:b/>
        </w:rPr>
        <w:t>E. 4.2</w:t>
      </w:r>
    </w:p>
    <w:p>
      <w:r>
        <w:t>In der angefochtenen Verfügung vom 20. August 2014 findet keinerlei Auseinandersetzung mit den konkreten Vorbringen des Beschwerdeführers wie insbesondere mit der Krankheit von C._______ statt, stattdessen erschöpft sich die Begründung im Wesentlichen in einer Aneinanderreihung standardisierter Sätze ohne einzelfallspezifischen Bezug. Aus dem Anspruch auf rechtliches Gehör resultiert auch die Pflicht der Behörden, die Vorbringen der vom Entscheid in ihrer Rechtsstellung Betroffenen sorgfältig und ernsthaft zu prüfen und in der Entscheidfindung zu berücksichtigen (Art. 32 Abs. 1 VwVG); daraus folgt, dass sich die Behörde mit den wesentlichen Vorbringen der Rechtssuchenden zu befassen und den Entscheid zu begründen hat (Art. 35 Abs. 1 VwVG). In der angefochtenen Verfügung vom 20. August 2014 findet das Vorbringen des Beschwerdeführers, dass sein Bruder C._______ herzkrank sei, keinerlei Erwähnung, sondern es wird im Gegenteil ausgeführt, es lägen keine humanitären Gründe (Krankheit) vor, welche eine Einreise in die Schweiz als zwingend notwendig erscheinen liessen. Wie die Vorinstanz zu dieser Auffassung gelangt, geht aus der angefochtenen Verfügung nicht hervor. Die vorinstanzliche Verfügung verletzt somit die Begründungspflicht im Sinne von Art. 35 Abs. 1 VwVG und erweist sich demnach als mangelhaft, da diese in Verletzung des rechtlichen Gehörs des Beschwerdeführers ergangen ist.</w:t>
      </w:r>
    </w:p>
    <w:p>
      <w:r>
        <w:rPr>
          <w:b/>
        </w:rPr>
        <w:t>E. 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Verletzung des rechtlichen Gehörs und unvollständigen Sachverhaltsfeststellung. Da auch in der Vernehmlassung keine Auseinandersetzung mit der individuellen Situation der Gesuchstellenden beziehungsweise den Beschwerdevorbringen des Beschwerdeführers stattfindet, sondern sich diese in einem pauschalen und zudem offensichtlich unzutreffenden Verweis auf die angeblich ausführlich begründete Verfügung erschöpft, rechtfertigt sich eine Kassation der angefochtenen Verfügung. Im Übrigen bleibt auf diese Weise der Instanzenzug erhalten, was umso wichtiger ist, als das Bundesverwaltungsgericht letztinstanzlich entscheidet.</w:t>
      </w:r>
    </w:p>
    <w:p>
      <w:r>
        <w:rPr>
          <w:b/>
        </w:rPr>
        <w:t>E. 6</w:t>
      </w:r>
    </w:p>
    <w:p>
      <w:r>
        <w:t>Die Beschwerde ist demnach im Sinne der Erwägungen gutzuheissen. Die angefochtene Verfügung ist aufzuheben und die Sache zu neuer Entscheidung an die Vorinstanz zurückzuweisen. Die vorinstanzlichen Akten sowie das Beschwerdedossier, welches ebenfalls Prozessstoff des vorinstanzlichen Verfahrens bilden wird, werden dem SEM zugestellt. Auf die weiteren Vorbringen in der Rechtsmit­telein­gabe ist aufgrund der vorliegenden Kassation zum heutigen Zeit­punkt nicht näher einzugehen.</w:t>
      </w:r>
    </w:p>
    <w:p>
      <w:r>
        <w:rPr>
          <w:b/>
        </w:rPr>
        <w:t>E. 7.1</w:t>
      </w:r>
    </w:p>
    <w:p>
      <w:r>
        <w:t>Bei diesem Ausgang des Verfahrens sind keine Kosten zu erheben (Art. 63 Abs. 1). Das Gesuch um unentgeltliche Rechtspflege im Sinne von Art. 65 Abs. 1 VwVG wird als gegenstandslos abgeschrieben.</w:t>
      </w:r>
    </w:p>
    <w:p>
      <w:r>
        <w:rPr>
          <w:b/>
        </w:rPr>
        <w:t>E. 7.2</w:t>
      </w:r>
    </w:p>
    <w:p>
      <w:r>
        <w:t>Da dem im vorliegenden Verfahren nicht vertretenen Beschwerdeführer keine notwendigen und verhältnismässig hohen Kosten entstanden sind, ist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