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D-5358/2020 vom 28. November 2022</w:t>
      </w:r>
    </w:p>
    <w:p>
      <w:r>
        <w:t>Bundesverwaltungsgericht, 2022-11-28, DE</w:t>
      </w:r>
    </w:p>
    <w:p>
      <w:r>
        <w:rPr>
          <w:b/>
        </w:rPr>
        <w:t xml:space="preserve">Quelle: </w:t>
      </w:r>
      <w:r>
        <w:t>https://mcp.opencaselaw.ch/entscheid/bvger_D-5358_2020</w:t>
      </w:r>
    </w:p>
    <w:p>
      <w:r>
        <w:t>FR: TAF D-5358/2020 du 28 novembre 2022</w:t>
      </w:r>
    </w:p>
    <w:p>
      <w:r>
        <w:t>IT: TAF D-5358/2020 del 28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D-5358/2020 Seite 6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2.1</w:t>
      </w:r>
    </w:p>
    <w:p>
      <w:r>
        <w:t>Die Kognition des Bundesverwaltungsgerichts und die zulässigen Rü- gen richten sich im Asylbereich nach Art. 106 Abs. 1 AsylG.</w:t>
      </w:r>
    </w:p>
    <w:p>
      <w:r>
        <w:rPr>
          <w:b/>
        </w:rPr>
        <w:t>E. 2.2</w:t>
      </w:r>
    </w:p>
    <w:p>
      <w:r>
        <w:t>Die Verfahrensakten von D._______ sowie diejenigen von E._______ (D-5356/2020) und C._______ (D-5354/2020) werden von Amtes wegen berücksichtigt.</w:t>
      </w:r>
    </w:p>
    <w:p>
      <w:r>
        <w:rPr>
          <w:b/>
        </w:rPr>
        <w:t>E. 2.3</w:t>
      </w:r>
    </w:p>
    <w:p>
      <w:r>
        <w:t>Da sich die Asylvorbringen der Beschwerdeführer stark auf diejenigen ihrer Mutter D._______ (Verfahren D-5356/2020) beziehen, wird das vor- liegende Verfahren koordiniert mit dem der Mutter behandelt und durch dasselbe Spruchgremium entschieden.</w:t>
      </w:r>
    </w:p>
    <w:p>
      <w:r>
        <w:rPr>
          <w:b/>
        </w:rPr>
        <w:t>E. 3</w:t>
      </w:r>
    </w:p>
    <w:p>
      <w:r>
        <w:t>Die Beschwerde ist betreffend die Dispositivziffern 1, 3, 4 und 5 der ange- fochtenen Verfügung infolge Gegenstandslosigkeit abzuschreiben, nach- dem die Vorinstanz diese in Wiedererwägung gezogen hat. Da die Be- schwerdeführerin im Asylpunkt an ihrer Beschwerde festhält, beschränkt sich der Gegenstand des vorliegenden Verfahrens auf die Frage, ob das SEM zu Recht – aufgrund der Verneinung von Vorfluchtgründen – das Asyl- gesuch abgewiesen und die Wegweisung aus der Schweiz angeordnet hat. In der Folge sind einzig Vorbringen betreffend Vorfluchtgründe zu prüfen; Ausführungen zur Konversion zum Christentum in Griechenland und den veränderten familiären Verhältnissen erübrigen sich somit.</w:t>
      </w:r>
    </w:p>
    <w:p>
      <w:r>
        <w:t>D-5358/2020 Seite 7</w:t>
      </w:r>
    </w:p>
    <w:p>
      <w:r>
        <w:rPr>
          <w:b/>
        </w:rPr>
        <w:t>E. 4.1</w:t>
      </w:r>
    </w:p>
    <w:p>
      <w:r>
        <w:t>Zunächst machte die Beschwerdeführerin geltend, die Vorinstanz habe ihr Recht auf Akteneinsicht, und damit ihren Anspruch auf rechtliches Ge- hör, verletzt, indem sie die Akten betreffend ihre Einreisebewilligung nicht offengelegt und paginiert habe.</w:t>
      </w:r>
    </w:p>
    <w:p>
      <w:r>
        <w:rPr>
          <w:b/>
        </w:rPr>
        <w:t>E. 4.2</w:t>
      </w:r>
    </w:p>
    <w:p>
      <w:r>
        <w:t>Diese Rüge ist vorab zu beurteilen, da sie allenfalls geeignet sein könnte, eine Kassation der vorinstanzlichen Verfügung zu bewirken.</w:t>
      </w:r>
    </w:p>
    <w:p>
      <w:r>
        <w:rPr>
          <w:b/>
        </w:rPr>
        <w:t>E. 4.2.1</w:t>
      </w:r>
    </w:p>
    <w:p>
      <w:r>
        <w:t>Gemäss Art. 29 VwVG haben die Parteien Anspruch auf rechtliches Gehör. Dieses umfasst insbesondere das Recht des Betroffenen, sich vor Erlass eines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2009/35 E. 6.4.1 m.H.).</w:t>
      </w:r>
    </w:p>
    <w:p>
      <w:r>
        <w:rPr>
          <w:b/>
        </w:rPr>
        <w:t>E. 4.2.2</w:t>
      </w:r>
    </w:p>
    <w:p>
      <w:r>
        <w:t>Aus dem Akteneinsichtsrecht als Teilgehalt des rechtlichen Gehörs folgt, dass den Beteiligten grundsätzlich sämtliche beweiserheblichen Ak- ten offenzulegen sind, sofern in der sie unmittelbar betreffenden Verfügung darauf abgestellt wird (BGE 132 V 387 E. 3.1 f.). Der Verwaltung obliegt zudem die Einhaltung der Aktenführungspflicht; das heisst, sie hat alles in den Akten festzuhalten, was zur Sache gehört und für den Entscheid we- sentlich sein kann (BGE 130 II 473 E. 4.1 m.w.H.). Der Anspruch auf Ak- teneinsicht setzt sodann eine geordnete, übersichtliche und vollständige Aktenführung (Ablage, Paginierung und Registrierung der vollständigen Akten im Aktenverzeichnis) voraus (vgl. BVGE 2018 IV/5 E. 8.1 und 2011/37 E. 5.4.1, je m.H.).</w:t>
      </w:r>
    </w:p>
    <w:p>
      <w:r>
        <w:rPr>
          <w:b/>
        </w:rPr>
        <w:t>E. 4.2.3</w:t>
      </w:r>
    </w:p>
    <w:p>
      <w:r>
        <w:t>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w:t>
      </w:r>
    </w:p>
    <w:p>
      <w:r>
        <w:t>D-5358/2020 Seite 8 Vorinstanz abzusehen, wenn und soweit die Rückweisung zu einem forma- listischen Leerlauf und damit zu unnötigen Verzögerungen führen würde, die mit dem Interesse der betroffenen Partei an einer beförderlichen Beur- teilung der Sache nicht zu vereinbaren wären (vgl. dazu BGE 137 I 195 E. 2.3.2 m.w.H.; vgl. auch BVGE 2008/47 E. 3.3.4 m.w.H.).</w:t>
      </w:r>
    </w:p>
    <w:p>
      <w:r>
        <w:rPr>
          <w:b/>
        </w:rPr>
        <w:t>E. 4.2.4</w:t>
      </w:r>
    </w:p>
    <w:p>
      <w:r>
        <w:t>Das Gericht stellt fest, dass die angefochtene Verfügung nicht auf die Einreiseakten der Beschwerdeführerin abstellt und ihnen auch sonst keine Beweiserheblichkeit für das vorliegende Verfahren zukommt. Selbst unter Annahme der beweisrechtlichen Erheblichkeit der Einreiseakten wäre eine allfällige Verletzung des Akteneinsichtsrechts als geheilt zu betrachten: Die damalige Instruktionsrichterin wies die Vorinstanz mit Instruktionsverfü- gung vom 17. November 2020 an, der Beschwerdeführerin Akteneinsicht zu gewähren; dieser Aufforderung ist das SEM am 27. November 2020 nachgekommen. Mit Instruktionsverfügung vom 8. Dezember 2020 gab die damalige Instruktionsrichterin der Beschwerdeführerin Gelegenheit, sich zu den betreffenden Akten zu äussern. Diese Gelegenheit nahm die Be- schwerdeführerin mit Eingabe vom 6. Januar 2021 wahr. Damit erhielt sie die Möglichkeit, sich vor einer Rechtsmittelinstanz zu äussern, die sowohl den Sachverhalt wie auch die Rechtslage frei überprüfen kann (vgl. BVGE 2017 I/4 E. 4.2). Selbst unter Annahme einer schwerwiegenden Verletzung des Anspruchs auf rechtliches Gehör wäre im vorliegenden Fall von einer Rückweisung an die Vorinstanz abzusehen, zumal in den Beschwerdeer- gänzungen nichts geltend gemacht wird, was eine Rückweisung rechtferti- gen könnte.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w:t>
      </w:r>
    </w:p>
    <w:p>
      <w:r>
        <w:t>D-5358/2020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seines ablehnenden Entscheids führte das SEM an, bei der geltend gemachten physischen und psychischen Gewalt seitens des Onkels der Beschwerdeführerin handle es sich um eine Verfolgung durch private Dritte. Da weder sie noch ihre Eltern versucht hätten, staatli- chen Schutz zu erhalten, könne den iranischen Behörden weder Untätig- keit noch fehlender Schutzwille vorgeworfen werden. Da die Beschwerde- führerin selbst nie Probleme mit den Behörden gehabt habe, wäre es ihr jedoch zumutbar gewesen, sich an die Behörden zu wenden. Auch sei nicht nachvollziehbar, weshalb sie sich den Behelligungen seitens H._______ und der Familie ihrer Mutter nicht unter Inanspruchnahme einer innerstaat- lichen Aufenthaltsalternative entzogen habe, zumal sie bereits an anderen Orten gewohnt habe. Schliesslich sei auch ihre Furcht, Opfer einer Zwangsheirat zu werden, objektiv nicht begründet. Ihre Vorbringen grün- deten lediglich auf dem Umstand, dass ihre Familie mütterlicherseits streng religiös und konservativ sei; konkrete Anhaltspunkte für eine objektivierte Furcht habe sie hingegen nicht darlegen können.</w:t>
      </w:r>
    </w:p>
    <w:p>
      <w:r>
        <w:rPr>
          <w:b/>
        </w:rPr>
        <w:t>E. 6.2</w:t>
      </w:r>
    </w:p>
    <w:p>
      <w:r>
        <w:t>Demgegenüber brachte die Beschwerdeführerin in ihrer Beschwerde vor, das SEM habe die Glaubhaftigkeit der Vorbringen betreffend ihre Furcht vor einer Zwangsverheiratung in Frage gestellt, indem es diese als objektiv nicht begründet bezeichnet habe. Durch diese Pauschalisierung habe die Vorinstanz das Willkürverbot verletzt. Sodann werde sie insbe- sondere aufgrund der Verfolgung ihrer Mutter verfolgt, eine ihr deshalb dro- hende Reflexverfolgung sei daher zu berücksichtigen. Es sei ferner offen- kundig, dass ihr im Fall einer Rückkehr ernsthafte Nachteile drohten, zumal der Druck seitens ihres Onkels und der Familie mütterlicherseits zugenom- men habe. Sie würde daher bei einer Rückkehr nach Iran verhaftet werden.</w:t>
      </w:r>
    </w:p>
    <w:p>
      <w:r>
        <w:rPr>
          <w:b/>
        </w:rPr>
        <w:t>E. 6.3</w:t>
      </w:r>
    </w:p>
    <w:p>
      <w:r>
        <w:t>Dieser Argumentation hielt das SEM in seiner Vernehmlassung entge- gen, es gehe nicht von der Unglaubhaftigkeit der Furcht vor einer Zwangs- heirat aus; vielmehr fehlten konkrete Anhaltspunkte für die Annahme einer auch objektiv begründeten Furcht.</w:t>
      </w:r>
    </w:p>
    <w:p>
      <w:r>
        <w:t>D-5358/2020 Seite 10</w:t>
      </w:r>
    </w:p>
    <w:p>
      <w:r>
        <w:rPr>
          <w:b/>
        </w:rPr>
        <w:t>E. 6.4</w:t>
      </w:r>
    </w:p>
    <w:p>
      <w:r>
        <w:t>In ihrer Replik führte die Beschwerdeführerin an, es sei offensichtlich, dass ihr im Fall einer Rückkehr eine Zwangsheirat drohen würde.</w:t>
      </w:r>
    </w:p>
    <w:p>
      <w:r>
        <w:rPr>
          <w:b/>
        </w:rPr>
        <w:t>E. 7.1</w:t>
      </w:r>
    </w:p>
    <w:p>
      <w:r>
        <w:t>Das Gericht stellt zunächst fest, dass nicht nachvollziehbar ist, inwie- fern das Willkürverbot verletzt sein sollte. Willkür im Sinne von Art. 9 BV liegt gemäss Lehre und Rechtsprechung nicht schon dann vor, wenn eine andere Lösung in Betracht zu ziehen oder sogar vorzuziehen wäre, son- dern nur dann, wenn ein Entscheid offensichtlich unhaltbar ist, mit der tat- sächlichen Situation in klarem Widerspruch steht, eine Norm oder einen unumstrittenen Rechtsgrundsatz klar verletzt oder in stossender Weise dem Gerechtigkeitsgedanken zuwiderläuft (vgl. Urteil des BVGer D-2933/2021 vom 4. Mai 2022 E. 3.3.7 m.w.H.). Der Umstand, dass die Beschwerdeführerin mit der rechtlichen Würdigung der Vorinstanz betref- fend das Bestehen einer objektiven Furcht nicht einverstanden ist, verletzt das Willkürverbot jedenfalls nicht.</w:t>
      </w:r>
    </w:p>
    <w:p>
      <w:r>
        <w:rPr>
          <w:b/>
        </w:rPr>
        <w:t>E. 7.2</w:t>
      </w:r>
    </w:p>
    <w:p>
      <w:r>
        <w:t>Weiter gelangt das Gericht zum Schluss, dass der Beschwerdeführerin keine Reflexverfolgung aufgrund der Situation ihrer Mutter droht, zumal das Gericht deren Vorfluchtgründen die flüchtlingsrechtliche Relevanz abge- sprochen hat (vgl. Urteil des BVGer D-5356/2020 vom 28. November 2022 E. 7.) und keine konkreten Indizien und tatsächlichen Anhaltspunkte dar- gelegt wurden, die eine Furcht vor einer real drohenden Verfolgung nach- vollziehbar erscheinen lassen.</w:t>
      </w:r>
    </w:p>
    <w:p>
      <w:r>
        <w:rPr>
          <w:b/>
        </w:rPr>
        <w:t>E. 7.3</w:t>
      </w:r>
    </w:p>
    <w:p>
      <w:r>
        <w:t>Betreffend die geltend gemachten Behelligungen durch ihren Onkel H._______ und die Familie ihrer Mutter ist festzuhalten, dass die diesbe- züglich erlittenen Nachteile nicht die Schwelle der von Art. 3 AsylG gefor- derten Ernsthaftigkeit erreicht haben. Zwar sei die Beschwerdeführerin ein- mal geschlagen beziehungsweise gewürgt und einmal in ihr Zimmer ein- gesperrt worden, jedoch ergeben sich aus den Akten keine fundierten Indi- zien, dass sie vonseiten ihrer Familie künftig mit ernsthaften Übergriffen zu rechnen hätte. Das Gericht stellt insgesamt fest, dass es bis zur Ausreise zu keiner Aggravation der Gewalt gekommen ist, die eine gesteigerte Ge- waltbereitschaft ihres Onkels oder eines anderen Familienmitglieds vermu- ten lassen würde. An dieser Einschätzung vermag auch der Umstand, dass die Beschwerdeführerin inzwischen zum Christentum konvertiert ist, nichts zu ändern, zumal sich der Gegenstand des vorliegenden Verfahrens auf ihre Vorfluchtgründe beschränkt (vgl. E. 3).</w:t>
      </w:r>
    </w:p>
    <w:p>
      <w:r>
        <w:t>D-5358/2020 Seite 11</w:t>
      </w:r>
    </w:p>
    <w:p>
      <w:r>
        <w:rPr>
          <w:b/>
        </w:rPr>
        <w:t>E. 7.4</w:t>
      </w:r>
    </w:p>
    <w:p>
      <w:r>
        <w:t>Ferner stellt das Gericht fest, dass die subjektive Furcht der Beschwer- deführerin vor einer Zwangsheirat nicht auch objektiv begründet erscheint. Wie von der Vorinstanz zutreffend festgestellt, sind weder den Akten noch ihren Aussagen konkrete Anhaltspunkte zu entnehmen, die auf eine mög- liche Zwangsheirat hinweisen. Um Wiederholungen zu vermeiden, kann an dieser Stelle auf die zutreffenden Erwägungen der Vorinstanz verwiesen werden. Im Übrigen deutet nichts darauf hin, dass der Beschwerdeführerin eine Ver- haftung durch die iranischen Behörden drohen könnte. Daran vermag auch der Umstand, dass sie inzwischen zum Christentum konvertiert ist, nichts zu ändern, zumal sich der Gegenstand des vorliegenden Verfahrens auf ihre Vorfluchtgründe beschränkt (vgl. E. 3).</w:t>
      </w:r>
    </w:p>
    <w:p>
      <w:r>
        <w:rPr>
          <w:b/>
        </w:rPr>
        <w:t>E. 7.5</w:t>
      </w:r>
    </w:p>
    <w:p>
      <w:r>
        <w:t>Nach dem Gesagten ist davon auszugehen, dass die Beschwerdefüh- rerin im Fall ihrer Rückkehr zum jetzigen Zeitpunkt aufgrund ihrer Vorflucht- gründe keine flüchtlingsrechtlich relevanten Nachteile seitens der irani- schen Behörden, ihres Onkels H._______ oder der weiteren Familie zu er- warten hätte.</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die Vorinstanz die vorläufige Aufnahme der Beschwerdefüh- rerin als Flüchtling angeordnet hat, erübrigt sich eine Prüfung der Ausfüh- rungen zum Wegweisungsvollzug (vgl. BVGE 2009/51 E. 5.4).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D-5358/2020 Seite 12</w:t>
      </w:r>
    </w:p>
    <w:p>
      <w:r>
        <w:rPr>
          <w:b/>
        </w:rPr>
        <w:t>E. 9.1</w:t>
      </w:r>
    </w:p>
    <w:p>
      <w:r>
        <w:t>Die Kosten des Beschwerdeverfahrens und die Parteientschädigung sind nach dem Verhältnis von Obsiegen und Unterliegen der beschwerde- führenden Person aufzuerlegen beziehungsweise zuzusprechen.</w:t>
      </w:r>
    </w:p>
    <w:p>
      <w:r>
        <w:rPr>
          <w:b/>
        </w:rPr>
        <w:t>E. 9.2</w:t>
      </w:r>
    </w:p>
    <w:p>
      <w:r>
        <w:t>Beim vorliegenden Verfahrensausgang ist von einem teilweisen Obsie- gen der Beschwerdeführerin auszugehen. Ihr wäre nach dem Grad des Durchdringens praxisgemäss ein Drittel der Verfahrenskosten aufzuerle- gen (Art. 63 Abs. 1 und 5 VwVG; Art. 1–3 des Reglements vom 21. Februar 2008 über die Kosten und Entschädigungen vor dem Bundesverwaltungs- gericht [VGKE, SR 173.320.2]). Nachdem jedoch das mit der Beschwerde gestellte Gesuch um unentgeltliche Prozessführung mit Zwischenverfü- gung vom 17. November 2020 gutgeheissen worden ist, werden keine Ver- fahrenskosten erhoben.</w:t>
      </w:r>
    </w:p>
    <w:p>
      <w:r>
        <w:rPr>
          <w:b/>
        </w:rPr>
        <w:t>E. 9.3</w:t>
      </w:r>
    </w:p>
    <w:p>
      <w:r>
        <w:t>Bei Gegenstandslosigkeit des Verfahrens ist der beschwerdeführenden Partei eine Entschädigung für die ihr erwachsenen notwendigen Kosten zuzusprechen, sofern sie die Gegenstandslosigkeit nicht durch ihr eigenes Verhalten bewirkt hat (Art. 15 i.V.m. Art. 5 VGKE). Diese Voraussetzungen sind vorliegend gegeben, da die teilweise Gegenstandslosigkeit der Be- schwerde durch die wiedererwägungsweise Anerkennung der Flüchtlings- eigenschaft der Beschwerdeführerin und die Anordnung der vorläufigen Aufnahme durch das SEM herbeigeführt wurde.</w:t>
      </w:r>
    </w:p>
    <w:p>
      <w:r>
        <w:rPr>
          <w:b/>
        </w:rPr>
        <w:t>E. 9.4</w:t>
      </w:r>
    </w:p>
    <w:p>
      <w:r>
        <w:t>Soweit die Beschwerdeführerin obsiegt, hat sie Anspruch auf eine Par- teientschädigung für die ihr erwachsenen notwendigen Kosten, die vom SEM auszurichten ist (Art. 64 Abs. 1 VwVG, Art. 7 Abs. 1 und 4 des Regle- ments vom 21. Februar 2008 über die Kosten und Entschädigungen vor dem Bundesverwaltungsgericht [VGKE, SR 173.320.2]). Angesichts des Obsiegens zu zwei Dritteln ist die Parteientschädigung indessen um ein Drittel zu reduzieren. Im vorliegenden Verfahren wurde keine Kostennote eingereicht. Auf die Nachforderung einer solchen wird indessen verzichtet (vgl. Art. 14 Abs. 2 VGKE), weil der Aufwand für die Beschwerdeführung zuverlässig abgeschätzt werden kann. Gestützt auf die in Betracht zu zie- henden Bemessungsfaktoren (Art. 9-13 VGKE) ist die um einen Drittel re- duzierte Parteientschädigung aufgrund der Akten pauschal auf Fr. 800.– festzusetzen. Dieser Betrag ist der Beschwerdeführerin durch das SEM zu entrichten.</w:t>
      </w:r>
    </w:p>
    <w:p>
      <w:r>
        <w:t>(Dispositiv nächste Seite)</w:t>
      </w:r>
    </w:p>
    <w:p>
      <w:r>
        <w:t>D-5358/2020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