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D-5358/2011 vom 5. April 2013</w:t>
      </w:r>
    </w:p>
    <w:p>
      <w:r>
        <w:t>Bundesverwaltungsgericht, 2013-04-05, DE</w:t>
      </w:r>
    </w:p>
    <w:p>
      <w:r>
        <w:rPr>
          <w:b/>
        </w:rPr>
        <w:t xml:space="preserve">Quelle: </w:t>
      </w:r>
      <w:r>
        <w:t>https://mcp.opencaselaw.ch/entscheid/bvger_D-5358_2011</w:t>
      </w:r>
    </w:p>
    <w:p>
      <w:r>
        <w:t>FR: TAF D-5358/2011 du 5 avril 2013</w:t>
      </w:r>
    </w:p>
    <w:p>
      <w:r>
        <w:t>IT: TAF D-5358/2011 del 5 aprile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bzw. Änderung und ist daher zur Einreichung der Beschwerde legitimiert (Art. 112 Abs. 1 AuG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Gestützt auf Art. 57 Abs. 1 VwVG (e contrario) wurde auf einen Schriftenwechsel verzichtet, da sich die Beschwerde, wie in den nachfolgenden Erwägungen dargelegt wird, im Wesentlichen als aussichtslos und damit als von vornherein unbegründet im Sinne der erwähnten Bestimmung erweist.</w:t>
      </w:r>
    </w:p>
    <w:p>
      <w:r>
        <w:rPr>
          <w:b/>
        </w:rPr>
        <w:t>E. 4</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5.1</w:t>
      </w:r>
    </w:p>
    <w:p>
      <w:r>
        <w:t>In formeller Hinsicht wird in der Beschwerde zunächst die fehlende Offenlegung sämtlicher Quellen der herangezogenen Herkunftsländerinformationen gerügt. Dies sei notwendig, damit die Behörden den Anforderungen an die Nachvollziehbarkeit eines Entscheids und der gesetzlich vorgesehenen Begründungspflicht gerecht werden könnten. Das BFM habe es unterlassen, sich mit der langjährigen und abweichenden Praxis des Bundesverwaltungsgerichts (E-5929/2006) auseinanderzusetzen. Ausserdem sei das Bundesamt in seiner Verfügung vom 25. August 2011 nicht vertieft auf die in der Stellungnahme vom 18. Juli 2011 beanstandete Begründungspflicht eingegangen und habe lapidar festgestellt, einer Praxisanpassung gehe jeweils eine eingehende Überprüfung der Situation im betreffenden Land voraus und es stütze sich dabei auf zahlreiche, auch allgemein zugängliche Quellen. Sodann lasse sich der Beschwerdeführer die Beanstandung des BFM, er habe es unterlassen, sich in seiner Stellungnahme vom 18. Juli 2011 mit der Einschätzung der veränderten Lage in Sri Lanka auseinanderzusetzen, nicht entgegen halten. Es ergebe wenig Sinn, auf die oberflächlichen und pauschalen Behauptungen der Vorinstanz einzugehen, wenn Quellenangaben fehlten. Das BFM habe somit die Angabe der verwendeten Dokumente unterschlagen und damit seine Begründungspflicht respektive den Anspruch des Beschwerdeführers auf rechtliches Gehör verletzt.</w:t>
      </w:r>
    </w:p>
    <w:p>
      <w:r>
        <w:rPr>
          <w:b/>
        </w:rPr>
        <w:t>E. 5.2</w:t>
      </w:r>
    </w:p>
    <w:p>
      <w:r>
        <w:t>Diese verfahrensrechtlichen Rügen sind vorweg zu prüfen, da sie allenfalls eine Kassation der vorinstanzlichen Verfügung bewirken könnten (vgl. Entscheidungen und Mitteilungen der Schweizerischen Asylrekurskommission [EMARK] 2004 Nr. 38 und 1994 Nr. 1; Fritz Gygi, Bundesverwaltungsrechtspflege, 2. Aufl., Bern 1983, S. 223 mit weiteren Hinweisen, S. 287 und 297; Alfred Kölz/Isabelle Häner, Verwaltungsverfahren und Verwaltungsrechtspflege des Bundes, 2. Aufl., Zürich 1998, S. 225 mit weiteren Hinweisen). Aus dem Anspruch auf rechtliches Gehör (Art. 29 Abs. 2 BV; Art. 29 ff. VwVG) ergibt sich, dass Rechtssuchenden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 Dabei hat sie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BVGE 2008/47 E. 3.2 S. 674 f., BVGE 2007/30 E. 5.6 S. 366 f.; Lorenz Kneubühler in: Kommentar zum VwVG, Auer/Müller/Schindler [Hrsg.], Zürich 2008, N. 6 ff. zu Art. 35; Kölz/Häner, a.a.O., S. 119, Rz. 325 und S. 128, Rz. 354 f.).</w:t>
      </w:r>
    </w:p>
    <w:p>
      <w:r>
        <w:rPr>
          <w:b/>
        </w:rPr>
        <w:t>E. 5.3</w:t>
      </w:r>
    </w:p>
    <w:p>
      <w:r>
        <w:t>Das Bundesamt stützte sich in seiner Verfügung hinsichtlich der Frage der Zumutbarkeit des Wegweisungsvollzugs nicht ausdrücklich auf eine im Herbst 2010 durchgeführte Dienstreise nach Sri Lanka, sondern verwies auf einen "Augenschein". Ungeachtet dessen, ob in der angefochtenen Verfügung ein konkreter Bericht zur fraglichen Dienstreise und mithin ein spezifisches Aktenstück genannt wird oder nur auf einen "Augenschein" verwiesen wird, ist festzustellen, dass das aus dem verfassungsmässigen Anspruch auf rechtliches Gehör resultierende Recht des Beschwerdeführers auf Information über die wesentlichen Entscheidungsgrundlagen im vorliegenden Fall nicht ausreichend gewahrt wurde. Das BFM verwies lediglich auf die UNHCR-Richtlinien vom 5. Juli 2010. Es werden keine anderweitigen Quellen genannt. Somit ist davon auszugehen, dass die Lageeinschätzung des Bundesamts, aufgrund welcher dieses eine Praxisänderung in Bezug auf die Beurteilung der Durchführbarkeit des Wegweisungsvollzugs nach Sri Lanka vornahm, unter anderem auf Erkenntnissen aus der Dienstreise vom September 2010 basiert. Da dieser demnach ein entscheidwesentlicher Charakter zukommt, wäre das BFM unter dem Gesichtspunkt der Begründungspflicht gehalten gewesen, dem Beschwerdeführer die Erkenntnisse der Dienstreise mit angemessener Transparenz offenzulegen. Indem dies unterlassen wurde, wurde die Begründungspflicht verletzt.</w:t>
      </w:r>
    </w:p>
    <w:p>
      <w:r>
        <w:rPr>
          <w:b/>
        </w:rPr>
        <w:t>E. 5.4</w:t>
      </w:r>
    </w:p>
    <w:p>
      <w:r>
        <w:t>Indessen wurde dem Beschwerdeführer im Rahmen des Beschwerdeverfahrens Gelegenheit zur Stellungnahme zur bereits bekannten und zugestellten Zusammenfassung der Ergebnisse der Dienstreise eingeräumt. Da die festgestellte Verletzung des rechtlichen Gehörs nicht schwerwiegender Natur ist und dem Bundesverwaltungsgericht bezüglich des Vollzugs der Wegweisung volle Kognition zukommt, kann der gerügte Verfahrensmangel damit als geheilt erachtet werden (vgl. zu den diesbezüglichen Voraussetzungen BVGE 2008/47 E. 3.3.4 S. 676 f.). Der festgestellte Verfahrensmangel wird indessen im Kosten- und Entschädigungspunkt zu berücksichtigen sein (vgl. E. 8 nachstehend).</w:t>
      </w:r>
    </w:p>
    <w:p>
      <w:r>
        <w:rPr>
          <w:b/>
        </w:rPr>
        <w:t>E. 5.5</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w:t>
      </w:r>
    </w:p>
    <w:p>
      <w:r>
        <w:rPr>
          <w:b/>
        </w:rPr>
        <w:t>E. 5.6</w:t>
      </w:r>
    </w:p>
    <w:p>
      <w:r>
        <w:t>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5.7</w:t>
      </w:r>
    </w:p>
    <w:p>
      <w:r>
        <w:t>In der Beschwerde wird sodann gerügt, die vorinstanzliche Einschätzung hinsichtlich der allgemeinen Sicherheitslage in Sri Lanka weiche erheblich von derjenigen des Bundesverwaltungsgerichts ab, weshalb die Vorinstanz im Ergebnis ihre Begründungspflicht sowie das rechtliche Gehör des Beschwerdeführers verletzt habe. So habe das Bundesverwaltungsgericht in seinem Grundsatzurteil vom 14. Februar 2008 unter anderem die Rückschaffung von Tamilen in die Nord- und Ostprovinz für unzumutbar erklärt, während die Vorinstanz dies bejahe. Aus diesem Grunde sei die angefochtene Verfügung aufzuheben und zur Neubeurteilung an die Vorinstanz zurückzuweisen. Das BFM hat in der angefochtenen Verfügung nachvollziehbar und im Einzelnen hinreichend differenziert aufgezeigt, weshalb es zum Schluss gelangt ist, dass sich die allgemeine Sicherheitslage in Sri Lanka nach dem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der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einschätzte, ist daher nicht zu bestanden, zumal sich das Bundesverwaltungsgericht rund fünfeinhalb Monate nach Erlass der angefochtenen Verfügung in seinem Grundsatzurteil E-6220/2011 vom 27. Oktober 2011 (vgl. BVGE 2011/24) zur aktuellen Situation in Sri Lanka geäussert und eine Anpassung seiner in BVGE 2008/2 publizierten Praxis vorgenommen hat, welche mit derjenigen des BFM im Ergebnis weitgehend übereinstimmt. Inwiefern das BFM mit seinem Vorgehen die Begründungspflicht verletzt haben soll, ist in Anbetracht der insgesamt ausgewogenen und differenzierten Erwägungen in der angefochtenen Verfügung ohnehin nicht ersichtlich. Es besteht folglich auch in diesem Zusammenhang kein Grund, die angefochtene Verfügung aufzuheben und die Sache zur Neubeurteilung an das BFM zurückzuweisen.</w:t>
      </w:r>
    </w:p>
    <w:p>
      <w:r>
        <w:rPr>
          <w:b/>
        </w:rPr>
        <w:t>E. 5.8</w:t>
      </w:r>
    </w:p>
    <w:p>
      <w:r>
        <w:t>Die prozessualen Rügen führen nach dem Gesagten nicht zur Aufhebung der angefochtenen Verfügung, weshalb diese nun materiell zu überprüfen ist.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des Asylgesetzes vom 26. Juni 1998 (AsylG, SR 142.31)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stellte in der angefochtenen Verfügung zu Recht fest, der Beschwerdeführer sei gemäss Verfügung vom 26. Juni 2009 nicht als Flüchtling anerkannt worden, weshalb der Grundsatz der Nichtrückschiebung gemäss Art. 5 Abs. 1 AsylG nicht angewendet werden könne.</w:t>
      </w:r>
    </w:p>
    <w:p>
      <w:r>
        <w:rPr>
          <w:b/>
        </w:rPr>
        <w:t>E. 6.2.3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Entgegen den Ausführungen des Beschwerdeführers lässt die allgemeine Menschenrechtssituation in Sri Lanka den Wegweisungsvollzug zum heutigen Zeitpunkt nicht als unzulässig erscheinen. Diese Auffassung teilt auch der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In BVGE 2011/24 hielt das Bundesverwaltungsgericht unter Bezugnahme auf diese Rechtsprechung des EGMR fest, dass nicht in genereller Weise davon auszugehen sei, zurückkehrenden Tamilen drohe in Sri Lanka unmenschliche Behandlung (vgl. a.a.O. E. 10.4.2).</w:t>
      </w:r>
    </w:p>
    <w:p>
      <w:r>
        <w:rPr>
          <w:b/>
        </w:rPr>
        <w:t>E. 6.2.4</w:t>
      </w:r>
    </w:p>
    <w:p>
      <w:r>
        <w:t>Gemäss Praxis des Bundesverwaltungsgerichts muss folglich bei einer kumulativen Würdigung sämtlicher Aspekte insgesamt eine gewisse Schwelle erreicht sein, welche vermuten lässt, dass der Ausländer bei einer Rückkehr ins Heimatland die Aufmerksamkeit der sri-lankischen Behörden in einem flüchtlingsrechtlich relevanten Ausmass oder menschenrechtswidrige Behandlung befürchten muss (vgl. BVGE 2011/24 E. 10.4.2).</w:t>
      </w:r>
    </w:p>
    <w:p>
      <w:r>
        <w:rPr>
          <w:b/>
        </w:rPr>
        <w:t>E. 6.2.5</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in solchen Konstellationen generell eine konkrete Gefährdung angenommen wird. Entgegen den Ausführungen des Beschwerdeführers werden nämlich nicht sämtliche aus dem Norden und Osten Sri Lankas stammenden abgewiesenen Asylbewerber als LTTE-Sympathisanten vermutet und gesucht. Vielmehr ist massgebend, ob die vermuteten Beziehungen zu Mitgliedern in hoher Stellung innerhalb der LTTE bestehen, wobei auch die Intensität dieser Beziehungen zu berücksichtigen ist. Diese Aspekte sind bei der Prüfung zu berücksichtigen, ob sie wegen Verbindung zu den LTTE bei einer allfälligen Rückkehr gefährdet sind (vgl. BVGE 2011/24 E. 8.4.3).</w:t>
      </w:r>
    </w:p>
    <w:p>
      <w:r>
        <w:rPr>
          <w:b/>
        </w:rPr>
        <w:t>E. 6.2.6</w:t>
      </w:r>
    </w:p>
    <w:p>
      <w:r>
        <w:t>Eine solche konkrete Gefährdung ist aufgrund der Aktenlage zu verneinen. Das als Beweismittel eingereichte Schreiben eines sri-lankischen Parlamentariers aus D._______ vom 23. September 2011 taugt nicht als glaubhafter Hinweis auf eine drohende menschenrechtswidrige Behandlung. In diesem Dokument wird ausgeführt, der Beschwerdeführer sei durch die LTTE gefoltert worden und die vorherrschende Lage in Sri Lanka habe sich nicht verbessert. Möglicherweise gehe für den Beschwerdeführer immer noch Gefahr von bewaffneten Gruppen aus. Aus dem unsubstanziierten Schreiben lässt sich indes keine konkrete Gefährdung ableiten, zumal die LTTE keinen Einfluss mehr ausüben. Daneben stellt sich die Frage, inwiefern der Verfasser der Eingabe die länderspezifischen Gegebenheiten und die konkrete Lage des Beschwerdeführers beurteilen kann. Das Schreiben lässt die Annahme zu, es könnte sich dabei um ein Gefälligkeitsschreiben handeln. Das BFM führte im angefochtenen Entscheid zutreffend aus, der Beschwerdeführer habe es unterlassen, sich substanziiert mit der vor­ins­tanzlichen Zwischenverfügung auseinanderzusetzen. Dabei habe er es versäumt, Stellung zu individuellen Wegweisungshindernissen zu beziehen, obwohl ihm die Möglichkeit dazu offen gestanden wäre. Auf Beschwerdeebene beschränkt sich der Beschwerdeführer darauf, seine Position zu gewählten Lageberichten zu erläutern. Er führt in seinen Einwänden gegen die Zulässigkeit des Wegweisungsvollzugs nicht aus, inwiefern er konkret durch Folter oder eine andere Art grausamer und unmenschlicher Behandlung bedroht wäre. Aus seinen Vorbringen auf Beschwerdeebene kann jedenfalls bei einer Rückkehr keine konkrete Bedrohung im Sinne von Art. 3 EMRK abgeleitet werden.</w:t>
      </w:r>
    </w:p>
    <w:p>
      <w:r>
        <w:rPr>
          <w:b/>
        </w:rPr>
        <w:t>E. 6.2.7</w:t>
      </w:r>
    </w:p>
    <w:p>
      <w:r>
        <w:t>Nach dem Gesagten ist der Vollzug der Wegweisung im Sinne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Bezug auf die allgemeine Lage in Sri Lanka kann auf die vom Bundesverwaltungsgericht vorgenommene Einschätzung der Situation im bereits erwähnten Grundsatzurteil BVGE 2011/24 verwiesen werden,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aus welcher der Beschwerdeführer stammt, weitgehend stabilisiert und normalisiert hat, wird der Wegweisungsvollzug in das gesamte Gebiet der Provinz grundsätzlich als zumutbar erachtet (vgl. a.a.O. E. 13.1).</w:t>
      </w:r>
    </w:p>
    <w:p>
      <w:r>
        <w:rPr>
          <w:b/>
        </w:rPr>
        <w:t>E. 6.3.3</w:t>
      </w:r>
    </w:p>
    <w:p>
      <w:r>
        <w:t>In der angefochtenen Verfügung bejahte das BFM die Zumutbarkeit des Wegweisungsvollzuges, da der Beschwerdeführer aus einem Distrikt stamme, der seit längerer Zeit unter Regierungskontrolle stehe. Er verfüge dort mit seinen in I._______ lebenden Eltern und zwei Geschwistern über ein tragfähiges Beziehungsnetz, das ihn bei seiner Rückkehr unterstützen werde. Es sei anzunehmen, dass ihm die Reintegration in seinem Heimatstaat gelingen werde, zumal er über eine höhere Schulbildung und Berufserfahrung als J._______ in einem F._______ verfüge.</w:t>
      </w:r>
    </w:p>
    <w:p>
      <w:r>
        <w:rPr>
          <w:b/>
        </w:rPr>
        <w:t>E. 6.3.4</w:t>
      </w:r>
    </w:p>
    <w:p>
      <w:r>
        <w:t>Nach eingehender Prüfung der Akten gelangt das Bundesverwaltungsgericht in Übereinstimmung mit dem BFM zum Schluss, dass der Wegweisungsvollzug des Beschwerdeführers zumutbar ist. Dessen Einwendungen beschränken sich weitgehend auf eine von der neuen Praxis des BFM und der älteren Praxis des Bundesverwaltungsgerichts abweichende Einschätzung der derzeitigen Sicherheits- und politischen Situation in Sri Lanka. Er unterlässt es jedoch, sich mit den individuellen Zumutbarkeitselementen des Wegweisungsvollzuges auseinanderzusetzen. Hinsichtlich seiner Beziehungen im Heimatstaat gilt es anzumerken, dass der Beschwerdeführer bei der Befragung zur Person vom 14. Juni 2007 angab, seine Eltern, ein Bruder sowie eine Schwester würden in I._______ wohnen, woraus geschlossen werden kann, er verfüge über ein tragfähiges Beziehungsnetz. Seine Familie wird den Beschwerdeführer zumindest vorübergehend aufnehmen und allenfalls bei der Arbeitssuche unterstützen können. Dieser besitzt gemäss eigenen Angaben einen K._______ (vgl. A1/9 S. 2). In den letzten Jahren vor der Ausreise arbeitete er als J._______ bei einem L._______ (vgl. A1/15 S. 2, A17/7). Aufgrund der Umstände sollte ihm der Wiederaufbau einer wirtschaftlichen Existenz möglich sein. Es ist somit nicht anzunehmen, dass er bei einer Rückkehr in seinen Heimatstaat in eine existenzielle Notlage geraten würde. Im Übrigen kann auf die Erwägungen der Vorinstanz verwiesen werden, denen beigepflichtet werden kann.</w:t>
      </w:r>
    </w:p>
    <w:p>
      <w:r>
        <w:rPr>
          <w:b/>
        </w:rPr>
        <w:t>E. 6.3.5</w:t>
      </w:r>
    </w:p>
    <w:p>
      <w:r>
        <w:t>Der Vollzug der Wegweisung erweist sich damit im heutigen Zeitpunkt sowohl in genereller als auch in individueller Hinsicht als zumutbar.</w:t>
      </w:r>
    </w:p>
    <w:p>
      <w:r>
        <w:rPr>
          <w:b/>
        </w:rPr>
        <w:t>E. 6.4</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6.5</w:t>
      </w:r>
    </w:p>
    <w:p>
      <w:r>
        <w:t>Zusammenfassend ist festzustellen, dass das BFM die mit Verfügung vom 31. März 2010 angeordnete vorläufige Aufnahme des Beschwerdeführers zu Recht aufgehoben hat.</w:t>
      </w:r>
    </w:p>
    <w:p>
      <w:r>
        <w:rPr>
          <w:b/>
        </w:rPr>
        <w:t>E. 7</w:t>
      </w:r>
    </w:p>
    <w:p>
      <w:r>
        <w:t>Aus diesen Erwägungen ergibt sich, dass im Ergebnis die angefochtene Verfügung Bundesrecht nicht verletzt, den rechtserheblichen Sachverhalt richtig und vollständig feststellt und angemessen ist (Art. 49 VwVG). Die Beschwerde ist somit abzuweisen.</w:t>
      </w:r>
    </w:p>
    <w:p>
      <w:r>
        <w:rPr>
          <w:b/>
        </w:rPr>
        <w:t>E. 8.1</w:t>
      </w:r>
    </w:p>
    <w:p>
      <w:r>
        <w:t>Die Kosten des Verfahrens sind grundsätzlich dem unterliegenden Beschwerdeführer aufzuerlegen (Art. 63 Abs. 1 und 5 VwVG). Indessen wurde dem Beschwerdeführer erst auf Veranlassung des Bundesverwaltungsgerichts die Gelegenheit eingeräumt, zum Dienstreisebericht des BFM Stellung zu nehmen (vgl. Bst. K hiervor). Insofern wurde in der Beschwerde zu Recht ein Verfahrensmangel gerügt, dieser jedoch durch die Rechtsmittelinstanz geheilt (vgl. E. 5.4).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Dieser Betrag ist mit dem geleisteten Kostenvorschuss von Fr. 600.- zu verrechnen. Der Saldobetrag von Fr. 200.- ist dem Beschwerdeführer zurückzuerstatten.</w:t>
      </w:r>
    </w:p>
    <w:p>
      <w:r>
        <w:rPr>
          <w:b/>
        </w:rPr>
        <w:t>E. 8.2</w:t>
      </w:r>
    </w:p>
    <w:p>
      <w:r>
        <w:t>Aufgrund dieser Ausführungen ist dem Beschwerdeführer trotz des Umstandes, dass er im vorliegenden Beschwerdeverfahren letztlich mit seinen Rechtsbegehren nicht durchgedrungen ist, eine angemessene (reduzierte) Parteientschädigung für die ihm aus der Beschwerdeführung im Rahmen des festgestellten Verfahrensmangels erwachsenen notwendigen Kosten zuzusprechen. Der Beschwerdeführer liess keine Kostennote einreichen. Die vom BFM zu entrichtende Parteientschädigung ist jedoch aufgrund des zuverlässig abschätzbaren Zeitaufwandes seines Rechtsvertreters und der praxisgemässen Bemessungsfaktoren (Art. 16 Abs. 1 Bst. a VGG i.V.m. Art. 8, Art. 10 Abs. 2 und Art. 14 Abs. 2 VGKE) auf insgesamt Fr. 400.-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