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D-534/2012 vom 7. März 2013</w:t>
      </w:r>
    </w:p>
    <w:p>
      <w:r>
        <w:t>Bundesverwaltungsgericht, 2013-03-07, DE</w:t>
      </w:r>
    </w:p>
    <w:p>
      <w:r>
        <w:rPr>
          <w:b/>
        </w:rPr>
        <w:t xml:space="preserve">Quelle: </w:t>
      </w:r>
      <w:r>
        <w:t>https://mcp.opencaselaw.ch/entscheid/bvger_D-534_2012</w:t>
      </w:r>
    </w:p>
    <w:p>
      <w:r>
        <w:t>FR: TAF D-534/2012 du 7 mars 2013</w:t>
      </w:r>
    </w:p>
    <w:p>
      <w:r>
        <w:t>IT: TAF D-534/2012 del 7 marzo 2013</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BFM hat vom Beschwerdeführer eingereichte Beweismittel erst im Rahmen des Schriftenwechsels gewürdigt. Es weist in diesem Zusammen­hang darauf hin, besagte Beweismittel hätten sich in den Ak­ten des Gerichts und nicht in den seinen befunden. Das BFM nahm im Rahmen der Vernehmlassung zu den entsprechenden Beweismitteln Stellung. Der Beschwerdeführer hatte sodann Gelegenheit, sich im Rahmen des Schriftenwechsels zu den nach­träglichen - und gemäss nachfolgenden Erwägungen zutreffenden - Erörterungen des BFM zu äussern. Eine Rückweisung der Sache an das BFM kommt so offensichtlich nicht in Betracht. Der Umstand, dass der Beschwerdeführer erst durch Beschwerdeerhebung zu einer vollständigen Beurteilung des rechtserheblichen Sachverhalts gelangte, ist praxisgemäss im Rahmen der Kostenauferlegung zu berücksichtigen (vgl. BVGE 2008/47). In diesem Zusammenhang ist darauf hinzuweisen, dass das BFM verpflichtet gewesen wäre, im Anschluss einer Kassation ihrer Verfügung die entsprechenden Verfahrensakten der Beschwerdeinstanz zu konsultieren; anders kann der rechtserhebliche Sachverhalt offensichtlich nicht erhoben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BFM erachtet die Kernvorbringen des Beschwerdeführers für unglaub­haft. Dieser Einschätzung ist gemäss nachfolgenden Ausführun­gen zuzustimmen.</w:t>
      </w:r>
    </w:p>
    <w:p>
      <w:r>
        <w:rPr>
          <w:b/>
        </w:rPr>
        <w:t>E. 5.1</w:t>
      </w:r>
    </w:p>
    <w:p>
      <w:r>
        <w:t>Es erscheint zwar nicht ausgeschlossen, dass der Beschwerdeführer in seinem Herkunftsgebiet mit den Taliban in Kontakt kam und im Sinne der Beschwerdevorbringen als Sohn einer offenbar einflussreichen Fami­lie gewissen Pressionen ausgesetzt war. Auch ein Überfall im Dorf könnte sich ereignet haben. In diesem Zusammenhang ist darauf hinzuweisen, dass die entsprechenden Ausführungen des Beschwerdeführers recht detailliert ausgefallen sind. Dass der Beschwerdeführer jedoch während eines längeren Zeitraums im Gewahrsam der Tali­ban verblieb und unter den geschilderten Umständen diesem Zugriff wie­der entkommen konnte, erscheint in der geschilderten Form als blosses Sachverhaltskonstrukt. Das BFM hält in diesem Zusammenhang fest, dass die Taliban den Beschwerdeführer bei tatsächlich beabsichtigter Zu­sammenarbeit gegen seinen Willen nicht in der geschilderten Art in der Apotheke allein gelas­sen hätten, da sie so mit seinem Verschwinden rechnen mussten. Stichhal­tige Beschwerdeargumente für eine andere Sichtweise fehlen. Auch in Berücksichtigung des Vorbringens, wonach er als Faustpfand ledig­lich einer Gehirnwäsche unterzogen worden sei, erscheint diese Ein­räumung der Fluchtmöglichkeit als realitätsfremd. Die Erwägung der Vorinstanz, wonach er sich gemäss seinen Äusse­rungen im Gewahrsam der Taliban trotz angeblicher Spionagevorwür­fen relativ frei habe bewegen können, verstärkt die Zwei­fel an den angeblich zielgerichteten Behelligungen. Die in der Be­schwerde hervorgehobene hohe soziale Stellung seines Vaters ändert in An­betracht der üblichen Vorgehensweise der Taliban nichts an dieser Fest­stellung. Schliesslich gelingt es dem Beschwerdeführer nicht, ge­wisse Abweichungen in seinen Aussagen zu denjenigen seines Bruders (N [...]) hinlänglich überzeugend zu erklären. Die Unglaubhaftigkeit einer längeren Gefan­genschaft wird auch in diesem Lichte besehen bestätigt.</w:t>
      </w:r>
    </w:p>
    <w:p>
      <w:r>
        <w:rPr>
          <w:b/>
        </w:rPr>
        <w:t>E. 5.2</w:t>
      </w:r>
    </w:p>
    <w:p>
      <w:r>
        <w:t>Die eingereichten Beweismittel führen zu keinem anderen Ergebnis. Die Tatsache, dass er gemäss Berichten seiner Ärzte in der Schweiz durch Ereignisse in Afghanistan traumatisiert worden sein soll, vermag die konkrete Ursache der psychischen Leiden nicht schlüssig darzutun, wes­halb die Unglaubhaftigkeit der Kernvorbringen bestehen bleibt. Fotos be­ziehungsweise Bildaufnahmen mit ihm im Umkreis von Personen, wel­che möglicherweise der Taliban zuzuordnen sind, belegen allenfalls sei­nen damaligen Aufenthalt im Umkreis solcher Personen; als Belege für die Entführung und die Flucht aus dem Gewahrsam der Taliban sind sie in­des nicht beweistauglich, weshalb sich die implizit beantragten zusätzli­chen Abklärungen erübrigen. Weitere Unterlagen, welche insbesondere seine Bezüge zu einer ausländischen Organisation, einen stattgefunde­nen Überfall und seinen Spitalaufenthalt bezeugen sollen, sind unbese­hen der Frage des Beweiswertes wiederum nicht geeignet, die angeblich er­littene Gefangenschaft und die Flucht verbunden mit einer andauern­den Gefährdung zu belegen. Unbesehen der Unglaubhaftigkeit der Kernvor­bringen ist sodann festzuhalten, dass der Beschwerdeführer auch bei angenommener Wahrheit eines gewissen Engagements für die ge­nannte Organisation und dem Wohlstand der Familie insgesamt kein Pro­fil aufweist, welches eine (landesweit) drohende, zielgerichtete Verfolgung durch militante Kräfte im Ausreise- und im jetzigen Zeitpunkt als be­achtlich wahrscheinlich erscheinen lassen würde.</w:t>
      </w:r>
    </w:p>
    <w:p>
      <w:r>
        <w:rPr>
          <w:b/>
        </w:rPr>
        <w:t>E. 5.3</w:t>
      </w:r>
    </w:p>
    <w:p>
      <w:r>
        <w:t>Dem Beschwerdeführer ist es demnach nicht gelungen, nachzu­wei­sen oder glaub­haft zu machen, dass er in Afghanistan aktuell be­grün­de­te Furcht vor ernsthaf­ten Nachteilen im Sinne von Art. 3 Abs. 2 AsylG ha­ben muss. Die diesbezüglichen Erwägungen des BFM sind ent­gegen den Be­schwerdevorbringen nicht zu be­an­stan­den. Es er­übrigt sich, auf weitere Be­schwerdevor­bringen oder die beigebrachten Beweismittel detaillierter ein­zu­gehen, weil sie am Er­geb­nis nichts än­dern können. Das BFM hat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6.3</w:t>
      </w:r>
    </w:p>
    <w:p>
      <w:r>
        <w:t>Der Beschwerdeführer wurde vom BFM in der angefochtenen Verfü­gung wegen Unzumutbarkeit des Wegweisungsvollzugs vorläufig in der Schweiz aufgenommen, weshalb sich weitere Erörterungen erübrigen.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Der Beschwerdeführer ist im vorliegenden Verfahren zwar unterlegen und wäre kostenpflichtig (vgl. Art. 63 Abs. 1 VwVG). Vorliegend ist jedoch zu berücksichtigen, dass auf Beschwerdeebene eine Verletzung des rechtlichen Gehörs geheilt worden ist, was praxisgemäss dazu führt, dass dem Beschwerdeführer keine Kosten aufzuerlegen sind (vgl. BVGE 2008/47).</w:t>
      </w:r>
    </w:p>
    <w:p>
      <w:r>
        <w:rPr>
          <w:b/>
        </w:rPr>
        <w:t>E. 8.2</w:t>
      </w:r>
    </w:p>
    <w:p>
      <w:r>
        <w:t>Dem Beschwerdeführer ist aus dem gleichen Grund eine Parteientschädigung zuzusprechen, für deren Festsetzung Art. 5 VGKE sinngemäss gilt (Art. 15 VGKE). Die Rechtsvertretung des Beschwerdeführers hat keine Honorarnote zu den Akten gereicht. Das Bundesverwaltungsgericht verzichtet auf die Einholung einer solchen und setzt die Entschädigung gestützt auf die Akten fest (Art. 14 VGKE). Unter Berücksichtigung der Bemessungsgrundsätze der Art. 7 ff. VGKE ist dem Beschwerdeführer eine reduzierte Parteientschädigung von Fr. 300.- (inklusive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