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D-5349/2024 vom 19. August 2024</w:t>
      </w:r>
    </w:p>
    <w:p>
      <w:r>
        <w:t>Bundesverwaltungsgericht, 2024-08-19, DE</w:t>
      </w:r>
    </w:p>
    <w:p>
      <w:r>
        <w:rPr>
          <w:b/>
        </w:rPr>
        <w:t xml:space="preserve">Quelle: </w:t>
      </w:r>
      <w:r>
        <w:t>https://mcp.opencaselaw.ch/entscheid/bvger_D-5349_2024_d20240819</w:t>
      </w:r>
    </w:p>
    <w:p>
      <w:r>
        <w:t>FR: TAF D-5349/2024 du 19 août 2024</w:t>
      </w:r>
    </w:p>
    <w:p>
      <w:r>
        <w:t>IT: TAF D-5349/2024 del 19 agosto 2024</w:t>
      </w:r>
    </w:p>
    <w:p>
      <w:pPr>
        <w:pStyle w:val="Heading2"/>
      </w:pPr>
      <w:r>
        <w:t>Regeste</w:t>
      </w:r>
    </w:p>
    <w:p>
      <w:r>
        <w:t>Nichteintreten auf Asylgesuch und Wegweisung (Dublin-Verfahren - Art. 31a Abs. 1 Bst. b AsylG) | Nichteintreten auf Asylgesuch und Wegweisung (Dublin-Verfahren); Verfügung des SEM vom 19. August 2024</w:t>
      </w:r>
    </w:p>
    <w:p>
      <w:pPr>
        <w:pStyle w:val="Heading2"/>
      </w:pPr>
      <w:r>
        <w:t>Erwägungen</w:t>
      </w:r>
    </w:p>
    <w:p>
      <w:r>
        <w:rPr>
          <w:b/>
        </w:rPr>
        <w:t>E. 20</w:t>
      </w:r>
    </w:p>
    <w:p>
      <w:r>
        <w:t>Dezember 1968 [VwVG]; SR 172.021) des SEM entscheidet (Art. 105 AsylG i.V.m. Art. 31‒33 des Bundesgesetzes über das Bundesverwal- tungsgericht vom 17. Juni 2005 [VGG]; SR 173.32]; Art. 83 Bst. d Ziff. 1 des Bundesgesetzes über das Bundesgericht vom 17. Juni 2005 [BGG]; SR 173.110), dass die Beschwerdeführerin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(vgl. Art. 108 Abs. 3 AsylG und Art. 52 Abs. 1 VwVG), dass über offensichtlich unbegründete Beschwerden in einzelrichterlicher Zuständigkeit mit Zustimmung eines zweiten Richters beziehungsweise</w:t>
      </w:r>
    </w:p>
    <w:p>
      <w:r>
        <w:t>D-5349/2024 Seite 4 einer zweiten Richterin entschieden wird (Art. 111 Bst. e AsylG) und es sich, wie nachfolgend aufgezeigt wird, um ein solches Rechtsmittel han- delt, weshalb das Urteil nur summarisch zu begründen ist (Art. 111a Abs. 2 AsylG), dass gestützt auf Art. 111a Abs. 1 AsylG auf einen Schriftenwechsel ver- 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des Gerichts grund- sätzlich auf die Frage beschränkt ist, ob die Vorinstanz zu Recht auf das Asylgesuch nicht eingetreten ist (vgl. BVGE 2017 VI/5 E. 3.1; 2012/4 E. 2.2, je m.w.H.), dass auf Asylgesuche in der Regel nicht eingetreten wird, wenn Asylsu- chende in einen Drittstaat ausreisen können, der für die Durchführung des Asyl- und Wegweisungsverfahrens staatsvertraglich zuständig ist (Art. 31a Abs. 1 Bst. b AsylG), dass gemäss Art. 3 Abs. 1 Dublin-III-VO jeder Asylantrag von einem einzi- gen Mitgliedstaat geprüft wird, der nach den Kriterien des Kapitels III (Art. 8–15 Dublin-III-VO) als zuständiger Staat bestimmt wird (vgl. auch Art. 7 Abs. 1 Dublin-III-VO), dass die deutschen Behörden am 5. Juli 2024 dem Wiederaufnahme- ersuchen des SEM vom 3. Juli 2024 ausdrücklich zustimmten, womit die Zuständigkeit Deutschlands grundsätzlich gegeben ist, was auch von der Beschwerdeführerin nicht bestritten wird,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w:t>
      </w:r>
    </w:p>
    <w:p>
      <w:r>
        <w:t>D-5349/2024 Seite 5 dass dieses sogenannte Selbsteintrittsrecht im Landesrecht durch Art. 29a Abs. 3 der Asylverordnung 1 vom 11. August 1999 (AsylV 1, SR 142.311) konkretisiert wird und das SEM das Asylgesuch gemäss dieser Bestim- mung «aus humanitären Gründen» auch dann behandeln kann, wenn da- für gemäss Dublin-III-VO ein anderer Staat zuständig wäre, dass der Selbsteintritt obligatorisch auszuüben ist, wenn völkerrechtliche Überstellungshindernisse vorliegen (vgl. BVGE 2015/9 E. 8.2.1), dass die Beschwerdeführerin mit ihrem Vorbringen, sie sei in Deutschland nicht hinreichend medizinisch behandelt worden, was sich negativ auf ihr Asylverfahren ausgewirkt habe, implizit die Anwendung von Art. 17 Abs. 1 Dublin-III-VO respektive Art. 29a Abs. 3 AsylV 1 fordert, dass Deutschland Signatarstaat der Konvention zum Schutze der Men- 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 tokolls der FK vom 31. Januar 1967 (SR 0.142.301) ist und seinen diesbe- züglichen völkerrechtlichen Verpflichtungen bisher ohne Beanstandungen nachgekommen ist (vgl. etwa Urteile des BVGer D-5407/2022 vom 28. No- vember 2022; D-4204/2022 vom 23. September 2022 E. 6.1 und E. 7.2),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dass es sodann keine wesentlichen Gründe für die Annahme gibt, das Asylverfahren und die Aufnahmebedingungen für Antragstellende in Deutschland würden systemische Schwachstellen im Sinne von Art. 3 Abs. 2 Sätze 2 und 3 Dublin-III-VO aufweisen, die eine Gefahr einer un- menschlichen oder entwürdigenden Behandlung im Sinne des Art. 4 der EU–Grundrechtecharta mit sich bringen würden und nach Art. 17 Abs. 1 Dublin-III-VO das Selbsteintrittsrecht auszuüben wäre, dass sodann eine zwangsweise Rückweisung von Personen mit gesund- heitlichen Problemen nur ausnahmsweise einen Verstoss gegen Art. 3 EMRK darstellen kann (vgl. Urteile des EGMR Paposhvili gegen Belgien</w:t>
      </w:r>
    </w:p>
    <w:p>
      <w:r>
        <w:t>D-5349/2024 Seite 6 vom 13. Dezember 2016, Grosse Kammer, 41738/10, §§ 180-193 m.w.H., bestätigt durch Savran gegen Dänemark 7. Dezember 2021, Grosse Kam- mer, 57467/15, §§ 121 ff.), dass die Beschwerdeführerin gemäss den eingereichten Unterlagen an ei- ner paranoiden Schizophrenie sowie an einer Posttraumatischen Belas- tungsstörung und schweren depressiven Episoden leidet und täglich Medi- kamente einnimmt, sowie während eines Monats wegen suizidaler Gedan- ken stationär in der psychiatrischen Klinik in B._______ untergebracht war, dass diese gesundheitlichen Beeinträchtigungen – auch wenn diese zwei- felsfrei einen hohen Leidensdruck bei der Beschwerdeführerin auslösen – einer Überstellung nach Deutschland unter dem Aspekt von Art. 3 EMRK nicht entgegenstehen, dass gemäss bundesgerichtlicher Rechtsprechung Suizidalität für sich al- lein kein Vollzugshindernis darstellt (vgl. Urteile des BGer 2C_221/2020 vom 19. Juni 2020 E. 2 oder 2C_856/2015 vom 10. Oktober 2015 E. 3.2.1) und dies auch der Praxis des Bundesverwaltungsgerichts entspricht (siehe beispielsweise Urteile des BVGer F-4459/2002 vom 11. Oktober 2022 E. 7.8; D-1689/2022 vom 14. April 2022 E. 8.3.1; F-3186/2021 vom 7. Feb- ruar 2022 E. 8.2; F-27/2021 vom 25. Februar 2021 E. 9.2), dass darüber hinaus festzuhalten ist, dass die schweizerischen Behörden, die mit dem Vollzug der angefochtenen Verfügung beauftragt sind, allfällig bestehenden besonderen medizinischen Bedürfnissen bei der Bestim- mung der konkreten Modalitäten der Überstellung der Beschwerdeführerin Rechnung zu tragen und die deutschen Behörden vorgängig darüber zu informieren (vgl. Art. 31 f. Dublin-III-VO), dass Deutschland über eine ausreichende medizinische Infrastruktur ver- fügt (statt vieler: Urteil des BVGer F-638/2022 vom 17. Februar 2022 E. 5.2) und keine Hinweise darauf vorliegen, dass der Beschwerdeführerin dort eine allenfalls notwendige medizinische Behandlung vorenthalten würde, dass die Beschwerdeführerin in ihrer Rechtsmitteleingabe im Wesentlichen geltend macht, sie sei in ihrem Heimatland bedroht und die deutschen Be- hörden hätten ihr Asylgesuch zu Unrecht abgelehnt und ihre Krankheit ig- noriert,</w:t>
      </w:r>
    </w:p>
    <w:p>
      <w:r>
        <w:t>D-5349/2024 Seite 7 dass sich daraus zwar ergibt, dass die Beschwerdeführerin mit dem Aus- gang ihres Asylverfahrens in Deutschland nicht zufrieden ist, dass sich aus ihren Ausführungen indessen keine konkreten Indizien erge- ben, die deutschen Behörden hätten ihren Antrag auf internationalen Schutz nicht regelkonform geprüft, dass es ihr freisteht, gegen den in Deutschland erhaltenen negativen Asyl- entscheid den dort vorhandenen Instanzenzug zu beschreiten, dass den Akten keine Gründe für die Annahme zu entnehmen sind, Deutschland werde in ihrem Fall den Grundsatz des Non-Refoulement missachten und sie zur Ausreise in ein Land zwingen, in dem ihr Leib, ihr Leben oder ihre Freiheit aus einem Grund nach Art. 3 Abs. 1 AsylG gefähr- det ist oder in dem sie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unter diesem Aspekt auch kein Anlass besteht, die Vorinstanz anzu- weisen, explizit Zusicherungen hinsichtlich Zugangs zum Asylverfahren, adäquater medizinischer Versorgung und Unterbringung bei den deut- schen Behörden einzuholen, weshalb das entsprechende Begehren abzu- weisen ist, dass das SEM demnach zu Recht in Anwendung von Art. 31a Abs. 1 Bst. d AsylG auf das Asylgesuch der Beschwerdeführerin nicht eingetreten ist und – weil die Beschwerdeführerin nicht im Besitz einer gültigen Aufent- halts- oder Niederlassungsbewilligung ist – in Anwendung von Art. 44 AsylG die Überstellung nach Deutschland angeordnet hat (Art. 32 Bst. a AsylV 1), dass die Beschwerde aus diesen Gründen als offensichtlich unbegründet abzuweisen ist,</w:t>
      </w:r>
    </w:p>
    <w:p>
      <w:r>
        <w:t>D-5349/2024 Seite 8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der Beschwerdeführerin aufzuerlegen sind (Art. 63 Abs. 1 VwVG).</w:t>
      </w:r>
    </w:p>
    <w:p>
      <w:r>
        <w:t>(Dispositiv nächste Seite)</w:t>
      </w:r>
    </w:p>
    <w:p>
      <w:r>
        <w:t>D-5349/2024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