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D-5347/2023 vom 31. August 2023</w:t>
      </w:r>
    </w:p>
    <w:p>
      <w:r>
        <w:t>Bundesverwaltungsgericht, 2023-08-31, FR</w:t>
      </w:r>
    </w:p>
    <w:p>
      <w:r>
        <w:rPr>
          <w:b/>
        </w:rPr>
        <w:t xml:space="preserve">Quelle: </w:t>
      </w:r>
      <w:r>
        <w:t>https://mcp.opencaselaw.ch/entscheid/bvger_D-5347_2023_d20230831</w:t>
      </w:r>
    </w:p>
    <w:p>
      <w:r>
        <w:t>FR: TAF D-5347/2023 du 31 août 2023</w:t>
      </w:r>
    </w:p>
    <w:p>
      <w:r>
        <w:t>IT: TAF D-5347/2023 del 31 agosto 2023</w:t>
      </w:r>
    </w:p>
    <w:p>
      <w:pPr>
        <w:pStyle w:val="Heading2"/>
      </w:pPr>
      <w:r>
        <w:t>Regeste</w:t>
      </w:r>
    </w:p>
    <w:p>
      <w:r>
        <w:t>Asile et renvoi | Asile et renvoi; décision du SEM du 31 août 2023</w:t>
      </w:r>
    </w:p>
    <w:p>
      <w:pPr>
        <w:pStyle w:val="Heading2"/>
      </w:pPr>
      <w:r>
        <w:t>Erwägungen</w:t>
      </w:r>
    </w:p>
    <w:p>
      <w:r>
        <w:rPr>
          <w:b/>
        </w:rPr>
        <w:t>E. 4</w:t>
      </w:r>
    </w:p>
    <w:p>
      <w:r>
        <w:t>novembre 1950 de sauvegarde des droits de l'homme et des libertés fondamentales (CEDH, RS 0.101), en cas de retour dans leur pays d’origine, dès lors que cet Etat ne serait ni suffisamment disposé à les protéger ni capable de le faire, que l’enfant de la recourante serait pareillement exposé à de tels préjudices, en violation de l’art. 3 de la Convention relative aux droits de l’enfant (CDE, RS 0.107), que les recourants ont en outre soutenu que l’interprète, lors de leurs auditions, avait mal traduit leurs réponses, respectivement avait omis de mentionner certains faits allégués ; qu’ils ont en outre reproché au SEM de ne pas avoir entendu le fils de la requérante, en violation de l’art. 12 CDE,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D-5347/2023 Page 6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et l’octroi de l’asile étaient remplies, que les requérants auraient quitté leur pays en raison des menaces proférées par l’ex-mari de l’intéressée, qu’indépendamment de la question de la vraisemblance de leurs déclarations, leurs craintes de préjudices telles que décrites ne trouvent pas leur fondement dans l'un des motifs exhaustivement énumérés à l'art. 3 LAsi, qu’au demeurant,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t>D-5347/2023 Page 7 qu’en l’occurrence, il ressort du récit des intéressés qu’ils n’auraient pas cherché à obtenir la protection des autorités, estimant vaine une telle démarche (cf. procès-verbal de l’audition de la requérante, Q, 69 ; procès- verbal de l’audition du requérant, Q. 47 ; mémoire de recours, p. 8), que le Tribunal s'est toutefois prononcé à plusieurs reprises sur la capacité et la volonté de protection des autorités turques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que le fait que la Turquie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arrêts du Tribunal E-2826/2021 du 5 août 2021 consid. 3.2.2.3 ; D-1777/2021 du 10 mai 2021), que, sans vouloir minimiser les problèmes que peuvent rencontrer les femmes victimes de violences de genre en Turquie, l’appréciation du SEM, selon laquelle les intéressés auraient pu et dû demander une protection aux autorités de leur pays, doit partant être confirmée, qu’au demeurant, si les intéressés estimaient réellement ne pas pouvoir obtenir la protection de la police, ils avaient et ont encore la possibilité de s’adresser à des autorités ou instances supérieures, qu’elles soient policières, civiles ou politiques, voire à une organisation de défense des droits des femmes ou encore à un avocat, que dès lors, en quittant la Turquie le (…), les recourants n’avaient pas épuisé les possibilités internes de protection qui leur étaient ouvertes, dans leur Etat national, contre une éventuelle persécution, que, dans ces conditions, ils ne sauraient reprocher aux autorités turques de n’avoir ni la volonté ni la capacité de les protéger contre les menaces dont ils auraient été l’objet de la part de l’ex-mari de l’intéressée,</w:t>
      </w:r>
    </w:p>
    <w:p>
      <w:r>
        <w:t>D-5347/2023 Page 8 qu'une protection nationale adéquate ne peut s'entendre comme la nécessité d'une protection absolue, aucun Etat n'étant en mesure de garantir une telle protection à chacun de ses citoyens, en tout lieu et à tout moment (cf. ATAF 2008/5 consid. 4.2),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que le recours du 3 octobre 2023 ne comporte en effet pas de critique fondée de la décision entreprise, les arguments des recourants, pour l’essentiel purement appellatoires, n’apparaissant manifestement pas convaincants, que les recourants ne sauraient en particulier se retrancher derrière les prétendus problèmes qu’ils aurait rencontrés avec l’interprète lors de leurs auditions sur leurs motifs ; qu’il y a lieu de relever à cet égard que les procès-verbaux leur ont été relus, phrase par phrase, à l’issue des auditions et qu’ils ont confirmé que ceux-ci étaient exhaustifs et correspondaient à leurs déclarations ; qu’ils ont apposé leurs signatures sur toutes les pages des procès-verbaux, sans avoir formulé la moindre remarque ou plainte quant à la traduction de leurs propos ou à l’interprète ; que leur représentante juridique n’a également formulé aucune remarque ou objection à cet égard, qu'ils doivent en conséquence assumer la responsabilité de leurs déclarations, que par ailleurs, les recourants ne sauraient valablement reprocher au SEM de ne pas avoir pris en compte les risques de violation de l’intégrité physique et psychique de leur fils, respectivement beau-fils, dans la mesure où les considérants de la décision attaquée relatifs à la possibilité d’obtenir la protection des autorités turques concernent à l’évidence l’ensemble de la famille, qu’en outre, c’est également manifestement à tort qu’ils ont reproché au SEM de ne pas avoir entendu l’enfant de la requérante, en violation de l’art. 12 CDE,</w:t>
      </w:r>
    </w:p>
    <w:p>
      <w:r>
        <w:t>D-5347/2023 Page 9 qu’en procédure administrative, il n’est en effet pas nécessaire d’entendre un enfant lorsque ses intérêts sont convergents avec ceux de ses parents et que son opinion ressort suffisamment des pièces du dossier (cf. ATAF 2012/31, qui se réfère aussi à l’art. 12 CDE) ; que tel est le cas en l’espèce, puisque l’enfant de l’intéressée est représenté par cette dernière, dont les intérêts sont identiques aux siens (cf. en ce sens arrêt du Tribunal E-3115/2018 du 8 mai 2019 consid. 3.3), que de surcroît, l’enfant de la requérante n’avait de loin pas encore atteint l’âge de quatorze ans, à partir duquel la capacité de discernement des enfants peut, en règle générale, être présumée dans la procédure d’asile, selon la pratique du SEM (cf. arrêt du Tribunal E-4098/2018 du 25 juillet 2018 consid. 2.4 et jurisp. cit.), qu'il s'ensuit que le recours, sous l'angle de la reconnaissance de la qualité de réfugié et de l’octroi de l’asile, doit être rejeté et le dispositif de la décision du 31 août 2023 confirmé sur ces points,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des recourants,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w:t>
      </w:r>
    </w:p>
    <w:p>
      <w:r>
        <w:t>D-5347/2023 Page 10 de l'art. 83 al. 4 LEI (cf. arrêts du Tribunal D-2289/2024 du 24 avril 2024 consid. 8.2 et jurisp. cit. ; D-4318/2023 du 20 février 2024 ; E-225/2024 du 30 janvier 2024 consid. 7.2), qu’il ne ressort pas non plus du dossier que les intéressés pourraient être mis concrètement en danger pour des motifs qui leur sont propres, qu’ils sont jeunes et au bénéfice d’une bonne formation ainsi que de diverses expériences professionnelles ; qu’ils n’ont par ailleurs pas allégué, ni a fortiori établi, souffrir, en l’état, de problèmes de santé particuliers qui impliqueraient un risque majeur en cas de retour (cf. procès-verbal de l’audition de la requérante, Q. 4, 44 et 46 ; procès- verbal de l’audition du requérant, Q. 4 et 29), qu’au demeurant, si le besoin s’en faisait sentir, la recourante, qui aurait connu par le passé quelques problèmes psychologiques (cf. procès-verbal de son audition, Q. 44), pourrait faire appel aux services de santé turcs, que la Turquie dispose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que de surcroît, les recourants disposent d’un solide réseau familial dans leur pays (cf. procès-verbal de l’audition de la requérante, Q. 17 ss ; procès-verbal de l’audition du requérant, Q. 12 ss),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rien ne permet d’admettre non plus que la mise en œuvre du renvoi serait contraire à l’intérêt supérieur de l’enfant, tel que protégé par l’art. 3 CDE, que cette disposition ne fonde pas en soi un droit à une autorisation de séjour, respectivement à une admission provisoire déductible en justice, mais représente uniquement un des éléments à prendre en compte dans</w:t>
      </w:r>
    </w:p>
    <w:p>
      <w:r>
        <w:t>D-5347/2023 Page 11 la pesée des intérêts à effectuer en matière d’exigibilité du renvoi (cf. ATAF 2009/51 consid. 5.6), qu’en l’occurrence, le fils de la recourante se trouve encore à un âge où les relations essentielles se vivent dans le giron familial ; que dès lors, et compte tenu de la brièveté de son séjour en Suisse, son renvoi en Turquie en compagnie de sa mère et de son beau-père, dans un environnement familial, social, culturel et linguistique qui lui est familier, ne saurait constituer pour lui un déracinement susceptible de porter atteinte à son développement personnel, son éducation pouvant être poursuivie dans ce pays, que, dans ces conditions, l’art. 3 par. 1 CDE ne constitue pas, au terme d’une pesée globale d’intérêts, un obstacle dirimant à l’exécution du renvoi sous l’angle de l’exigibilité, que l'exécution du renvoi est enfin possible (art. 83 al. 2 LEI ; cf. ATAF 2008/34 consid. 12 et jurisp. cit.), les recourants étant tenus, le cas échéant, de collaborer à l'obtention de documents de voyage leur permettant de retourner dans leur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D-5347/2023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