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D-5342/2012 vom 10. Dezember 2012</w:t>
      </w:r>
    </w:p>
    <w:p>
      <w:r>
        <w:t>Bundesverwaltungsgericht, 2012-12-10, DE</w:t>
      </w:r>
    </w:p>
    <w:p>
      <w:r>
        <w:rPr>
          <w:b/>
        </w:rPr>
        <w:t xml:space="preserve">Quelle: </w:t>
      </w:r>
      <w:r>
        <w:t>https://mcp.opencaselaw.ch/entscheid/bvger_D-5342_2012</w:t>
      </w:r>
    </w:p>
    <w:p>
      <w:r>
        <w:t>FR: TAF D-5342/2012 du 10 décembre 2012</w:t>
      </w:r>
    </w:p>
    <w:p>
      <w:r>
        <w:t>IT: TAF D-5342/2012 del 10 dicembre 2012</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Beim Entscheid um die Zuteilung an einen Kanton oder die Verweigerung einer Neuzuteilung an einen anderen Kanton handelt es sich um eine selbständig beim Bundesverwaltungsgericht anfechtbare Zwischenverfügung (Art. 107 Abs. 1 AsylG), dessen asylrechtliche Abteilungen dafür zuständig sind (vgl. Art. 23 Abs. 4 i.V.m. Ziff. 4 Abs. 1 des Anhangs des Geschäftsreglements vom 17. April 2008 für das Bundesverwaltungsgericht [VGR, SR 173.320.1]). Die Beschwerde gegen eine selbständig anfechtbare Zwischenverfügung ist innerhalb von zehn Tagen seit Eröffnung der Verfügung einzureichen (Art. 108 Abs. 1 AsylG in fine). Vorliegend ist die zehntägige Beschwerdefrist (vgl. Art. 108 Abs. 1 AsylG) unter Beachtung des Fristenlaufs an Feiertagen (Art. 20 Abs. 3 VwVG) am 12. Oktober 2012 abgelaufen, weshalb die an das Bundesverwaltungsgericht adressierte und am 11. Oktober 2012 der Post übergebene Beschwerde rechtzeitig eingereicht wurde.</w:t>
      </w:r>
    </w:p>
    <w:p>
      <w:r>
        <w:rPr>
          <w:b/>
        </w:rPr>
        <w:t>E. 1.3</w:t>
      </w:r>
    </w:p>
    <w:p>
      <w:r>
        <w:t>Die Beschwerde ist somit frist- und formgerecht eingereicht. Der Beschwerdeführer hat am Verfahren vor der Vorinstanz teilgenommen, ist durch die angefochtene Zwischenverfügung besonders berührt und hat ein schutzwürdiges Interesse an deren Aufhebung beziehungsweise Änderung. Er ist daher zur Einreichung der Beschwerde legitimiert (Art. 105 AsylG i.V.m. Art. 48 Abs. 1 VwVG). Auf die Beschwerde ist einzutreten.</w:t>
      </w:r>
    </w:p>
    <w:p>
      <w:r>
        <w:rPr>
          <w:b/>
        </w:rPr>
        <w:t>E. 1.4</w:t>
      </w:r>
    </w:p>
    <w:p>
      <w:r>
        <w:t>Ein Zuweisungsentscheid kann nur mit der Begründung angefochten werden, er verletze den Grundsatz der Einheit der Familie (vgl. Art. 27 Abs. 3 letzter Satz AsylG).</w:t>
      </w:r>
    </w:p>
    <w:p>
      <w:r>
        <w:rPr>
          <w:b/>
        </w:rPr>
        <w:t>E. 2</w:t>
      </w:r>
    </w:p>
    <w:p>
      <w:r>
        <w:t>Über offensichtlich begründete Beschwerden wird in einzelrichterlicher Zuständigkeit mit Zustimmung eines zweiten Richters entschieden (Art. 111 Abs. 1 Bst. e AsylG). Da es sich vorliegend, wie nachfolgend aufgezeigt, um eine solche handelt, ist der Beschwerdeentscheid nur summarisch zu begründen (Art. 111a Abs. 2 AsylG). Gestützt auf Art. 111a Abs. 1 AsylG wurde vorliegend auf einen Schriftenwechsel verzichtet.</w:t>
      </w:r>
    </w:p>
    <w:p>
      <w:r>
        <w:rPr>
          <w:b/>
        </w:rPr>
        <w:t>E. 3.1</w:t>
      </w:r>
    </w:p>
    <w:p>
      <w:r>
        <w:t>Zur Rüge der nicht rechtsgültigen Eröffnung des Zuweisungsentscheides durch die Vorinstanz, wonach diese den angefochtenen Entscheid dem Rechtsvertreter des Beschwerdeführers per Fax am 11. Oktober 2012 zugestellt, der Beschwerdeführer selber jedoch bis dato keinen Originalentscheid an seinem Zustelldomizil erhalten habe, ist Folgendes festzuhalten: Wurde - wie vorliegend - vom Beschwerdeführer ein Vertreter gemäss Art. 11 Abs. 1 VwVG bezeichnet, muss die Behörde, solange die Partei die eingeräumte Vollmacht nicht widerruft, alle für die Partei bestimmten Zustellungen an deren Vertreter vornehmen (vgl. Vera Marantelli-Sonanini/Said Huber, in: Praxiskommentar zum Bundesgesetz über das Verwaltungsverfahren, Bernhard Waldmann/Philippe Weissenberger [Hrsg], Zürich 2009, N 16 zu Art. 11). Weiter darf gemäss Art. 38 VwVG den Parteien aus mangelhafter Eröffnung kein Nachteil erwachsen.</w:t>
      </w:r>
    </w:p>
    <w:p>
      <w:r>
        <w:rPr>
          <w:b/>
        </w:rPr>
        <w:t>E. 3.2</w:t>
      </w:r>
    </w:p>
    <w:p>
      <w:r>
        <w:t>Die Eröffnung der angefochtenen Verfügung erweist sich, wie vom Beschwerdeführer zu recht moniert, als mangelhaft, da er nicht in den Besitz aller Verfügungselemente gelangte, die zur Wahrung seiner Interessen erforderlich gewesen wären. Dem Rechtsvertreter des Beschwerdeführers wurde gemäss seinen Angaben nur das Dispositiv der angefochtenen Verfügung per Fax am 1. Oktober 2012 zugestellt. Auch den Akten zufolge wurde ihm nur eine Seite zugestellt (vgl. Akten der Vorinstanz A16/1 [gemäss dem Sendebericht wurde nur eine Seite gefaxt]). Demgegenüber befindet sich in den Akten kein Empfangsschein, welcher den Erhalt der Originalverfügung bestätigen würde. Ist jedoch eine Eröffnung als solche so mangelhaft, dass die Verfügungsadressaten nicht in den Besitz aller Elemente gelangen, die zur Wahrung ihrer Interessen erforderlich sind, wird der Fristenlauf nicht ausgelöst und damit das Eintreten der formellen Rechtskraft aufgeschoben (vgl. Alfred Kölz/Isabelle Häner, Verwaltungsverfahren und Verwaltungsrechtspflege des Bundes, 2. Aufl., Zürich 1998, S. 131 Rz. 366).</w:t>
      </w:r>
    </w:p>
    <w:p>
      <w:r>
        <w:rPr>
          <w:b/>
        </w:rPr>
        <w:t>E. 3.3</w:t>
      </w:r>
    </w:p>
    <w:p>
      <w:r>
        <w:t>Aufgrund der vorstehenden Erwägungen ist die Beschwerde gutzuheissen, soweit beantragt wird, die angefochtene Verfügung vom 1. Oktober 2012 sei aufzuheben. Das Verfahren ist an die Vorinstanz zurückzuweisen, damit diese die nötigen Massnahmen (rechtsgültige Eröffnung der Originalverfügung an den Rechtsvertreter des Beschwerdeführers) vornimmt.</w:t>
      </w:r>
    </w:p>
    <w:p>
      <w:r>
        <w:rPr>
          <w:b/>
        </w:rPr>
        <w:t>E. 4</w:t>
      </w:r>
    </w:p>
    <w:p>
      <w:r>
        <w:t>Bei diesem Ausgang des Verfahrens sind keine Verfahrenskosten aufzuerlegen (Art. 63 Abs. 1 VwVG i.V.m. Art. 37 VGG).</w:t>
      </w:r>
    </w:p>
    <w:p>
      <w:r>
        <w:rPr>
          <w:b/>
        </w:rPr>
        <w:t>E. 5</w:t>
      </w:r>
    </w:p>
    <w:p>
      <w:r>
        <w:t>Die Beschwerdeinstanz kann der ganz oder teilweise obsiegenden Partei von Amtes wegen oder auf Begehren eine Entschädigung für die ihr erwachsenen notwendigen und verhältnismässig hohen Kosten zusprechen (Art. 64 Abs. 1 VwVG i.V.m. Art. 7 des Reglements vom 21. Februar 2008 über die Kosten und Entschädigungen vor dem Bundesverwaltungsgericht [VGKE, SR 173.320.2]). Der Beschwerdeführer obsiegt, soweit beantragt wird, die angefochtene Verfügung vom 1. Oktober 2012 sei aufzuheben. Seitens der Rechtsvertretung liegt keine Kostennote vor. Aufgrund der Akten lässt sich der Parteiaufwand jedoch hinreichend zuverlässig abschätzen, weshalb die Entschädigung für das Beschwerdeverfahren aufgrund der Akten festzusetzen ist (Art. 14 Abs. 2 in fine VGKE). Unter Berücksichtigung der massgebenden Bemessungsfaktoren (Art. 9-13 VGKE) und der Entschädigungspraxis in Vergleichsfällen ist das BFM anzuweisen, dem Beschwerdeführer für das Rechtsmittelverfahren eine Parteientschädigung in der Höhe von Fr. 500.--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