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D-5335/2008 vom 1. Dezember 2009</w:t>
      </w:r>
    </w:p>
    <w:p>
      <w:r>
        <w:t>Bundesverwaltungsgericht, 2009-12-01, DE</w:t>
      </w:r>
    </w:p>
    <w:p>
      <w:r>
        <w:rPr>
          <w:b/>
        </w:rPr>
        <w:t xml:space="preserve">Quelle: </w:t>
      </w:r>
      <w:r>
        <w:t>https://mcp.opencaselaw.ch/entscheid/bvger_D-5335_2008</w:t>
      </w:r>
    </w:p>
    <w:p>
      <w:r>
        <w:t>FR: TAF D-5335/2008 du 1 décembre 2009</w:t>
      </w:r>
    </w:p>
    <w:p>
      <w:r>
        <w:t>IT: TAF D-5335/2008 del 1 dicembre 2009</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1.3</w:t>
      </w:r>
    </w:p>
    <w:p>
      <w:r>
        <w:t>Die Beschwerde ist nicht in einer Amtssprache des Bundes abgefasst. Aus prozessökonomischen Gründen wurde auf eine Rückweisung der englischsprachigen Beschwerde zur Übersetzung in eine Amtssprache verzichtet, da die (sinngemäss) gestellten Rechtsbegehren verständlich sowie begründet sind. Der vorliegende Entscheid ergeht hingegen in deutscher Sprache (vgl. Art. 33a Abs. 2 VwVG i.V.m. Art. 6 AsylG). Die Beschwerde ist, abgesehen vom sprachlichen Mangel, frist- und formgerecht eingereicht. Der Beschwerdeführer ist durch die angefochtene Verfügung besonders berührt und hat ein schutzwürdiges Interesse an deren Aufhebung beziehungsweise Änderung. Der Beschwerdeführer ist daher zur Einreichung der Beschwerde legitimiert (Art. 6 AsylG i.V.m. Art. 48 Abs. 1, Art. 50 und 52 VwVG). Auf die Beschwerde ist einzutreten.</w:t>
      </w:r>
    </w:p>
    <w:p>
      <w:r>
        <w:rPr>
          <w:b/>
        </w:rPr>
        <w:t>E. 2.1</w:t>
      </w:r>
    </w:p>
    <w:p>
      <w:r>
        <w:t>Gemäss Art. 19 AsylG kann ein Asylgesuch im Ausland bei einer schweizerischen Vertretung gestellt werden, welche es mit einem Bericht an das Bundesamt überweist (Art. 20 Abs. 1 AsylG). Die schweizerische Vertretung führt mit der asylsuchenden Person in der Regel eine Befragung durch (Art. 10 Abs. 1 der Asylverordnung 1 vom 11. August 1999 über Verfahrensfragen [AsylV 1, SR 142.311]). Ist dies nicht möglich, so wird die asylsuchende Person von der Vertretung aufgefordert, ihre Asylgründe schriftlich festzuhalten (Art. 10 Abs. 2 AsylV 1). Das Bundesverwaltungsgericht hat in Auslegung dieser Bestimmungen in einem Entscheid vom 27. November 2007 i.S. E-6148/2006 (publiziert unter BVGE 2007/30) erkannt, dass sich die Unmöglichkeit einer Befragung aus organisatorischen oder kapazitätsmässigen Gründen bei der jeweiligen Vertretung, aus faktischen Hindernissen im betreffenden Land oder aus bei der asylsuchenden Person liegenden persönlichen Gründen ergeben kann (vgl. BVGE, a.a.O., E. 5.2 und 5.3). Da die Anhörung der Sachverhaltserstellung sowie der Gewährung des rechtlichen Gehörs dient (vgl. BVGE, a.a.O., E. 5.5), ist die asylsuchende Person bei gegebener Unmöglichkeit einer Anhörung unter Hinweis auf ihre Mitwirkungspflicht in einem individualisierten Schreiben mittels konkreter Fragen aufzufordern, ihre Asylgründe schriftlich festzuhalten; ein standardisiertes Schreiben vermag diesen Anforderungen damit in aller Regel nicht zu genügen (BVGE, a.a.O., E. 5.4). Allerdings kann sich eine Befragung beziehungsweise eine schriftliche Sachverhaltsabklärung erübrigen, wenn der Sachverhalt bereits aufgrund des eingereichten Asylgesuchs als entscheidreif erstellt erscheint; der asylsuchenden Person ist aber diesfalls immerhin im Sinne des rechtlichen Gehörs die Gelegenheit zu geben, sich zu einem abzusehenden negativen Entscheid zumindest schriftlich zu äussern (BVGE, a.a.O., E. 5.7). Schliesslich ist das Bundesamt in jedem Fall gehalten, das Absehen von einer Befragung in der Verfügung über das Asylgesuch zu begründen (BVGE, a.a.O., E. 5.6 sowie 5.7).</w:t>
      </w:r>
    </w:p>
    <w:p>
      <w:r>
        <w:rPr>
          <w:b/>
        </w:rPr>
        <w:t>E. 2.2</w:t>
      </w:r>
    </w:p>
    <w:p>
      <w:r>
        <w:t>In casu wurde durch die schweizerische Vertretung in Colombo keine Befragung des Beschwerdeführers zu seinem Asylgesuch vom 18. Januar 2008 durchgeführt. Die Botschaft begründete den Verzicht auf eine Befragung des Beschwerdeführers damit, dass nach Durchsicht der vom Beschwerdeführer eingereichten Unterlagen dieser die Voraussetzungen an die Asylgewährung nicht erfüllen dürfte. Offenbar wurde der Sachverhalt von der Botschaft bereits aufgrund des eingereichten Asylgesuchs als entscheidreif erstellt erachtet. In der angefochtenen Verfügung wird nun festgehalten, dass gestützt auf die Aktenlage die Gefährdungssituation des Beschwerdeführers abschliessend beurteilt werden könne. Selbst wenn diese Auffassung zutreffend wäre - dies kann erst nach der Gewährung des rechtlichen Gehörs zuverlässig beurteilt werden -, hätte das BFM dem Beschwerdeführer unter den gegebenen Umständen gemäss Rechtsprechung des Bundesverwaltungsgerichts das rechtliche Gehör zu dem sich abzeichnenden negativen Entscheid gewähren müssen (vgl. vorstehend E. 2.1), was indessen unterlassen wurde.</w:t>
      </w:r>
    </w:p>
    <w:p>
      <w:r>
        <w:rPr>
          <w:b/>
        </w:rPr>
        <w:t>E. 2.3</w:t>
      </w:r>
    </w:p>
    <w:p>
      <w:r>
        <w:t>Aufgrund des oben Gesagten ergibt sich, dass die Vorinstanz dem Beschwerdeführer zu Unrecht das gemäss Rechtsprechung zwingend zu gewährende rechtliche Gehör nicht gewährte. Dieser Mangel ist auf Beschwerdeebene nicht zu heilen, zumal es nicht Sinn und Zweck des Beschwerdeverfahrens vor dem Bundesverwaltungsgericht ist, während dieses Verfahrens von der Vorinstanz unterlassene Handlungen nachzuholen.</w:t>
      </w:r>
    </w:p>
    <w:p>
      <w:r>
        <w:rPr>
          <w:b/>
        </w:rPr>
        <w:t>E. 3</w:t>
      </w:r>
    </w:p>
    <w:p>
      <w:r>
        <w:t>Die Feststellung, dass das BFM dem Beschwerdeführer das rechtliche Gehör nicht gewährte, führt indessen nicht dazu, dass ihm die Einreise in die Schweiz bereits aus diesem Grund zu bewilligen wäre. Aus dem Umstand, dass er bisher nicht befragt - respektive ihm das rechtliche Gehör nicht gewährt - wurde, kann nicht geschlossen werden, dass ihm zur persönlichen Anhörung oder der Gewährung des rechtlichen Gehörs die Einreise in die Schweiz bewilligt werden müsste. Angesichts der Aktenlage bestehen nicht genügend konkrete Anhaltspunkte für die Annahme, dem Beschwerdeführer wäre ein Verbleib in Sri Lanka für die Dauer der weiteren, noch erforderlichen Verfahrenshandlungen nicht zumutbar im Sinne von Art. 20 Abs. 2 AsylG.</w:t>
      </w:r>
    </w:p>
    <w:p>
      <w:r>
        <w:rPr>
          <w:b/>
        </w:rPr>
        <w:t>E. 4.1</w:t>
      </w:r>
    </w:p>
    <w:p>
      <w:r>
        <w:t>Zusammenfassend ist festzuhalten, dass die Vorinstanz den Anspruch des Beschwerdeführers auf rechtliches Gehör verletzt hat. Da eine Heilung dieses Verfahrensmangels im Rahmen des Beschwerdeverfahrens nicht möglich erscheint und jedenfalls nicht angebracht wäre, ist der angefochtene Entscheid aufzuheben und zur Gewährung des rechtlichen Gehörs sowie zur Neubeurteilung im Sinne der Erwägungen an die Vorinstanz zurückzuweisen. Nach der Gewährung des rechtlichen Gehörs wird das BFM zudem zu beurteilen haben, ob sich gestützt auf die Rechtsprechung des Bundesverwaltungsgerichts eine Befragung des Beschwerdeführers als notwendig erweist oder nicht.</w:t>
      </w:r>
    </w:p>
    <w:p>
      <w:r>
        <w:rPr>
          <w:b/>
        </w:rPr>
        <w:t>E. 4.2</w:t>
      </w:r>
    </w:p>
    <w:p>
      <w:r>
        <w:t>Nach dem Gesagten ist die Beschwerde gutzuheissen, die vorinstanzliche Verfügung vom 3. Juli 2008 aufzuheben und die Vorinstanz anzuweisen, dem Beschwerdeführer das rechtliche Gehör zu gewähren, den rechtserheblichen Sachverhalt gegebenenfalls ergänzend vollständig festzustellen und in der Sache neu zu entscheiden.</w:t>
      </w:r>
    </w:p>
    <w:p>
      <w:r>
        <w:rPr>
          <w:b/>
        </w:rPr>
        <w:t>E. 5.1</w:t>
      </w:r>
    </w:p>
    <w:p>
      <w:r>
        <w:t>Bei diesem Ausgang des Verfahrens sind keine Kosten aufzuerlegen (Art. 63 Abs. 1 und 2 VwVG).</w:t>
      </w:r>
    </w:p>
    <w:p>
      <w:r>
        <w:rPr>
          <w:b/>
        </w:rPr>
        <w:t>E. 5.2</w:t>
      </w:r>
    </w:p>
    <w:p>
      <w:r>
        <w:t>Da der Beschwerdeführer im Beschwerdeverfahren nicht anwaltlich vertreten wurde, ist nicht davon auszugehen, ihm seien durch die selbstständige Beschwerdeführung verhältnismässig hohe Kosten erwachsen. Daher ist ihm keine Parteientschädigung zuzusprechen (vgl. Art. 64 Abs. 1 VwVG sowie Art. 7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