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D-5332/2013 vom 27. November 2013</w:t>
      </w:r>
    </w:p>
    <w:p>
      <w:r>
        <w:t>Bundesverwaltungsgericht, 2013-11-27, FR</w:t>
      </w:r>
    </w:p>
    <w:p>
      <w:r>
        <w:rPr>
          <w:b/>
        </w:rPr>
        <w:t xml:space="preserve">Quelle: </w:t>
      </w:r>
      <w:r>
        <w:t>https://mcp.opencaselaw.ch/entscheid/bvger_D-5332_2013</w:t>
      </w:r>
    </w:p>
    <w:p>
      <w:r>
        <w:t>FR: TAF D-5332/2013 du 27 novembre 2013</w:t>
      </w:r>
    </w:p>
    <w:p>
      <w:r>
        <w:t>IT: TAF D-5332/2013 del 27 novembre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alors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L'intéressée a qualité pour recourir (cf. art. 48 al. 1 PA). Présenté dans la forme et les délais prescrits par la loi, le recours est recevable (cf. art. 50 al. 1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3.2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4.1</w:t>
      </w:r>
    </w:p>
    <w:p>
      <w:r>
        <w:t>Dans sa requête du 15 avril 2013, A._______ a demandé à ce qu'un visa Schengen pour des motifs humanitaires lui soit octroyé. Par décision du 23 avril 2013, l'Ambassade a rejeté ladite demande, au moyen d'un formulaire-type de refus de visa (cf. art. 6 al. 2 LEtr), aux motifs que l'objet et les conditions du séjour envisagé n'étaient pas justifiés (motif du formulaire n° 2), d'une part, et que la volonté de quitter l'espèce Schengen avant l'expiration du visa n'était pas établie (motif du formulaire n° 9), d'autre part. Le 29 mai 2013, l'intéressée a fait opposition (cf. art. 6 al. 2bis LEtr), laquelle a été rejetée, par décision de l'ODM du 21 août 2013. Dans le recours qu'elle a déposée contre cette décision, A._______ a reproché le fait que l'Ambassade avait refusé sa requête pour les raisons indiquées sur le formulaire précité. En effet, le paragraphe 4 de la let. c du code frontières Schengen aurait pu, selon elle, permettre tout de même son autorisation d'entrer en Suisse, et ce même si elle ne remplissait pas les deux conditions normalement requises pour obtenir un visa Schengen ordinaire. En l'occurrence, le Tribunal constate tout d'abord que l'Ambassade, en procédant de la sorte, à savoir en cochant, sur son formulaire-type de refus de visa du 23 avril 2013, les motifs n° 2 et n° 9, n'a fait que se conformer aux instructions émises par l'ODM dans les cas où elle entendait refuser la demande de visa pour raisons humanitaires (cf. ch. 5 de la Directive). En outre, l'intéressée a eu l'occasion d'exposer, dans le cadre de son opposition du 29 mai 2013, les raisons pour lesquelles elle estimait remplir les conditions spécifiques exigées pour l'octroi d'un visa d'entrée pour des raisons humanitaires, au sens notamment de l'art. 2 al. 4 OEV. Dans sa décision du 21 août 2013, l'autorité de première instance a apprécié les raisons spécifiques invoquées par A._______ pour déterminer si ces dernières étaient réalisées, conformément au paragraphe 4 de la let. c du code frontières Schengen, sans examiner les autres conditions ordinaires relatives à l'octroi d'un visa uniforme pour l'espace Schengen. Le reproche précité de A._______ n'est dès lors pas fondé.</w:t>
      </w:r>
    </w:p>
    <w:p>
      <w:r>
        <w:rPr>
          <w:b/>
        </w:rPr>
        <w:t>E. 4.2</w:t>
      </w:r>
    </w:p>
    <w:p>
      <w:r>
        <w:t>L'abrogation, le 29 septembre 2012, de l'ancien art. 20 LAsi, qui autorisait le dépôt d'une demande d'asile à l'étranger, a amené le Conseil fédéral à édicter l'art. 2 al. 4 OEV, entré en vigueur le 1er octobre 2012. Cette disposition permet ainsi d'octroyer un visa d'entrée pour raisons humanitaires, en dérogation aux conditions générales prévues dans le droit Schengen concernant la délivrance de visas. Une fois entré en Suisse, le détenteur d'un visa humanitaire doit déposer une demande d'asile dans les meilleurs délais, sans quoi il doit quitter le pays après trois mois.</w:t>
      </w:r>
    </w:p>
    <w:p>
      <w:r>
        <w:rPr>
          <w:b/>
        </w:rPr>
        <w:t>E. 4.3</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bien réelle. La demande de visa doit être examinée avec soin, en tenant compte de la menace actuelle, de la situation personnelle de l'intéressé et de la situation prédominante dans son pays d'origine ou de provenance. Il est alors impératif d'examiner attentivement les spécificités de la demande de visa. Si l'intéressé se trouve déjà dans un Etat tiers, il y a lieu de considérer en règle générale qu'il n'est plus menacé (cf. le message du Conseil fédéral du 26 mai 2010 concernant la modification de la loi sur l'asile, FF 2010 4035, spéc. 4048, 4052 et 4070 s. ; cf. aussi la Directive, concernant les demandes de visa pour motifs humanitaires).</w:t>
      </w:r>
    </w:p>
    <w:p>
      <w:r>
        <w:rPr>
          <w:b/>
        </w:rPr>
        <w:t>E. 4.4</w:t>
      </w:r>
    </w:p>
    <w:p>
      <w:r>
        <w:t>En l'espèce, A._______ a fait valoir qu'elle risquait d'être contrainte de devoir épouser le mari de sa défunte soeur, décédée en (...) 2012. Dans la décision attaquée, l'ODM a estimé qu'elle ne se trouvait pas dans une situation de détresse particulière susceptible de justifier l'octroi d'une autorisation d'entrée en Suisse. Dans son pourvoi, la recourante a contesté l'appréciation faite par l'autorité de première instance, soulignant en particulier que les menaces d'un mariage forcé étaient bien réelles et toujours d'actualité.</w:t>
      </w:r>
    </w:p>
    <w:p>
      <w:r>
        <w:rPr>
          <w:b/>
        </w:rPr>
        <w:t>E. 4.5</w:t>
      </w:r>
    </w:p>
    <w:p>
      <w:r>
        <w:t>En l'occurrence, il y a lieu de déterminer si l'intéressée se trouve effectivement dans une situation de détresse telle qu'elle nécessiterait de lui accorder un visa d'entrée en Suisse. En premier lieu, le Tribunal n'entend nullement mettre en doute les observations de la recourante selon lesquelles il est fort douteux que les autorités éthiopiennes puissent être en mesure de lui offrir une protection adéquate. Il ne conteste pas non plus le bien-fondé des sources d'organismes internationaux cités à cet effet. Cela étant précisé, il constate, à l'instar de l'ODM, que l'intéressée, après avoir appris que son beau-frère entendait la contraindre de l'épouser, a pu très rapidement obtenir le soutien de sa mère, laquelle bénéficie d'ailleurs de l'autorité parentale sur sa fille mineure, âgée de (...), respectivement bientôt (...) ans. Faisant usage de l'autorité parentale dont elle dispose, la mère de la recourante s'est du reste immédiatement opposée au mariage forcé de sa fille. Afin de protéger cette dernière, elle a ainsi pris les mesures qui s'imposaient en partant se réfugier, dans un premier temps, à B._______ au domicile d'un ami, ressortissant suisse d'origine éthiopienne, dans un second temps à E._______, avant de revenir à leur premier lieu de refuge, où elles se trouvent encore à ce jour. Comme l'a relevé à juste titre l'ODM, la recourante n'a jamais été inquiétée ou recherchée à B._______. Quant aux allégations selon lesquelles sa mère aurait croisé un membre de la famille de son beau-frère à E._______, lequel lui aurait posé de manière instante des questions sur son lieu de résidence, elles se limitent à de simples affirmations nullement étayées. De surcroît, il apparaît, sur la base des pièces figurant au dossier, qu'elle peut compter, en sus du soutien de sa mère, sur la protection de sa famille ou, à tout le moins, d'une partie d'entre elle. Il ressort en particulier de la lettre du (...) 2012 rédigée par D._______ qu'un des oncles de l'intéressée a promptement réagi lorsque le beau-frère de celle-ci l'a demandée en mariage auprès de son père, en le "jetant dehors" avec ses compagnons. Dans ces conditions, l'allégation selon laquelle elle ne peut pas compter sur le soutien de certains membres de sa famille proche n'est pas crédible. Dans son courrier du 18 mars 2013, A._______ a par ailleurs admis que le fait de remplacer l'épouse décédée par une soeur plus jeune ne correspondait pas à une pratique familiale, ni à une pratique locale sur le secteur de B._______. Quant à l'allégation contenue dans le courrier du 21 novembre 2013, selon laquelle son père aurait fait emprisonner, en date du (...) 2013, deux de ses propres enfants dans le seul but de la faire revenir ainsi que sa mère, laquelle ne serait pas pour l'heure au courant de ces faits, elle se limite à une simple affirmation qui ne repose sur aucun élément concret. Elle ne saurait en outre modifier l'appréciation du Tribunal relatif au soutien sur lequel la recourante peut compter de la part d'une partie de sa famille. Au vu de ce qui précède, c'est à juste titre que l'ODM a considéré que l'intéressée ne se trouvait pas dans une situation de danger imminent justifiant l'octroi d'un visa humanitaire.</w:t>
      </w:r>
    </w:p>
    <w:p>
      <w:r>
        <w:rPr>
          <w:b/>
        </w:rPr>
        <w:t>E. 5</w:t>
      </w:r>
    </w:p>
    <w:p>
      <w:r>
        <w:t>Dès lors, il ne saurait être reproché à cet office d'avoir refusé la délivrance d'une autorisation d'entrée en Suisse, fondée sur des motifs humanitaires, en faveur de A._______. Il s'ensuit que la décision de l'ODM du 21 août 2013 est conforme au droit (cf. art. 49 PA). Partant, le recours doit être rejeté.</w:t>
      </w:r>
    </w:p>
    <w:p>
      <w:r>
        <w:rPr>
          <w:b/>
        </w:rPr>
        <w:t>E. 6</w:t>
      </w:r>
    </w:p>
    <w:p>
      <w:r>
        <w:t>A titre exceptionnel, il n'est pas perçu de frais de procédure (cf. art. 63 al. 4 LAsi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