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D-532/2012 vom 10. Mai 2012</w:t>
      </w:r>
    </w:p>
    <w:p>
      <w:r>
        <w:t>Bundesverwaltungsgericht, 2012-05-10, DE</w:t>
      </w:r>
    </w:p>
    <w:p>
      <w:r>
        <w:rPr>
          <w:b/>
        </w:rPr>
        <w:t xml:space="preserve">Quelle: </w:t>
      </w:r>
      <w:r>
        <w:t>https://mcp.opencaselaw.ch/entscheid/bvger_D-532_2012</w:t>
      </w:r>
    </w:p>
    <w:p>
      <w:r>
        <w:t>FR: TAF D-532/2012 du 10 mai 2012</w:t>
      </w:r>
    </w:p>
    <w:p>
      <w:r>
        <w:t>IT: TAF D-532/2012 del 10 maggio 2012</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 unter Vorbehalt der nachfolgenden Erwägungen - einzutreten.</w:t>
      </w:r>
    </w:p>
    <w:p>
      <w:r>
        <w:rPr>
          <w:b/>
        </w:rPr>
        <w:t>E. 1.4</w:t>
      </w:r>
    </w:p>
    <w:p>
      <w:r>
        <w:t>Der Beschwerde kommt die aufschiebende Wirkung zu (Art. 55 Abs. 1 VwVG) und die Vorinstanz hat in der angefochtenen Verfügung einer allfälligen Beschwerde die aufschiebende Wirkung nicht entzogen (Art. 55 Abs. 2 VwVG). Auf das (Eventual-)Begehren, die aufschiebende Wirkung sei wiederherzustellen, ist daher mangels Rechtsschutzinteresses nicht einzutreten.</w:t>
      </w:r>
    </w:p>
    <w:p>
      <w:r>
        <w:rPr>
          <w:b/>
        </w:rPr>
        <w:t>E. 1.5</w:t>
      </w:r>
    </w:p>
    <w:p>
      <w:r>
        <w:t>Die Beschwerde der Partnerin des Beschwerdeführers (zusammen mit dem Kind Rehan) wird im gleichzeitig ergehenden Urteil D-49/2012 koordiniert behandelt.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Falle von Beschwerden gegen Nichteintretensentscheide, mit denen es das BFM ablehnt, das Asylgesuch auf seine Begründetheit hin zu überprüfen (Art. 32 - 35 AsylG), ist die Beurteilungskompetenz des Bundesverwaltungsgerichts grundsätzlich auf die Frage beschränkt, ob das BFM zu Recht auf das Asylgesuch nicht eingetreten ist. Die Beschwerdeinstanz enthält sich einer selbständigen materiellen Prüfung und weist die Sache - sofern sie den Nichteintretensentscheid als unrechtmässig erachtet - zu neuer Entscheidung an die Vorinstanz zurück (vgl. dazu BVGE 2007/8 E. 2.1 mit weiterem Hinweis). Da die Vorinstanz die Frage der Wegweisung und des Vollzugs materiell prüft, kommt dem Bundesverwaltungsgericht diesbezüglich grundsätzlich volle Kognition zu. Soweit der Beschwerdeführer beantragt, es sei ihm Asyl zu gewähren, kann nach dem Gesagten auf dieses Beschwerdebegehren nicht eingetreten werden.</w:t>
      </w:r>
    </w:p>
    <w:p>
      <w:r>
        <w:rPr>
          <w:b/>
        </w:rPr>
        <w:t>E. 4</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Bei der Prüfung, ob Hinweise auf eine Verfolgung vorliegen, welche geeignet sind, die Flüchtlingseigenschaft zu begründen, ist vom engen Verfolgungsbegriff im Sinne von Art. 3 AsylG auszugehen, wobei darunter auch subjektive Nachfluchtgründe fallen. Zudem kommt ein gegenüber der Glaubhaftmachung reduzierter Beweismassstab zur Anwendung: Auf ein Asylgesuch muss eingetreten werden, wenn sich Hinweise auf eine relevante Verfolgung ergeben, die nicht zum Vornherein haltlos sind (vgl. BVGE 2009/53 E. 4.2 S. 769, BVGE 2008/57 E. 3.2 S. 780; Entscheidungen und Mitteilungen der [vormaligen] Schweizerischen Asylrekurskommission [EMARK] 2005 Nr. 2 E. 4.3. S. 17). 5.1. Den mit Verfügung vom 17. Januar 2012 in Anwendung vom Art. 32 Abs. 2 Bst. e AsylG getroffenen Nichteintretensentscheid begründete das BFM mit dem Umstand, dass das erste Asylverfahren seit dem 6. November 2009 rechtskräftig abgeschlossen sei und den neuen Sachverhaltsschilderungen keine Hinweise zu entnehmen seien, welche die Flüchtlingseigenschaft zu begründen vermöchten oder für die Gewährung vorübergehenden Schutzes relevant wären. Dabei wies die Vorinstanz zunächst darauf hin, dass die Vorbringen des Beschwerdeführers an die im ersten Asylverfahren vorgetragenen Asylgründe anknüpften. Da jene Asylgründe als unglaubhaft erachtet worden seien, bestünden grundsätzliche Zweifel am Wahrheitsgehalt der nunmehr geltend gemachten Vorbringen. Hinzu komme, dass der Beschwerdeführer zu zentralen Aspekten seiner neuen Fluchtgründe keine substanziierten Aussagen habe machen können. So habe er geltend gemacht, wegen Blasphemie angezeigt worden zu sein, ohne dazu konkrete Angaben machen zu können. Er habe lediglich angegeben, der Vorbeter in der Moschee habe gesagt, der Beschwerdeführer hätte den Propheten beleidigt, weshalb es zu dieser Anzeige gekommen sei. Auch das genaue Datum der Anzeige habe er nicht nennen können, zudem seien seine diesbezüglichen Angaben widersprüchlich ausgefallen, indem er einmal vom Jahr 2010 und einmal vom Jahr 2011 gesprochen habe. Vom Beschwerdeführer wären Kenntnisse über die konkreten Umstände zu erwarten gewesen, zumal der Vorfall angeblich in den Zeitungen erwähnt worden sei. Ausserdem habe er auch nicht nachvollziehbar erklären können, wie es im Jahr 2010 oder 2011 zur Anzeige einer Tat aus dem Jahr 2005 hätte kommen sollen. Das Vorbringen des Beschwerdeführers, in Pakistan wegen Blasphemie gesucht zu werden, sei daher unglaubhaft. Ebenfalls nicht geglaubt werden könnten die Aussagen des Beschwerdeführers bezüglich der Ermordung seines Vaters. Seine Erklärung, weshalb er erst acht Monate nach dem Tod erfahren haben wolle, dass sein Vater ermordet worden sei, überzeuge nicht. Hinzu komme, dass der Beschwerdeführer zu den genauen Umständen der Ermordung keine fundierten Angaben habe machen können. Auch zu seiner weiteren Behauptung, seine Gegner seien im G._______ 2010 nach Genf gekommen und hätten nach ihm gesucht, habe er keine substanziierten Angaben machen können. Dieser Sachverhalt könne ebenfalls nicht geglaubt werden. Schliesslich wies das Bundesamt darauf hin, dass die Beweiskraft der eingereichten Beweismittel angesichts fehlender rechtsgenüglicher Identitätsdokumente ohnehin entfalle. Unter diesen Umständen könne nicht eruiert werden, ob es sich bei den auf den eingereichten Beweismitteln genannten Personen tatsächlich um den Beschwerdeführer handle. Ausserdem decke sich der in den Beweismitteln dargestellte Sachverhalt nicht mit dem vom Beschwerdeführer geschilderten. Es entstehe der Eindruck, dass der Beschwerdeführer über den genauen Inhalt der eingereichten Beweismittel kaum Bescheid wisse, so als ob er diese im Vorfeld seines Asylgesuches gar nicht erst gelesen habe. 5.2. In Bezug auf die Ereignisse, die nach dem ersten Asylverfahren eingetreten sein sollen und die entsprechende Argumentation der Vorinstanz wendet der Beschwerdeführer auf Beschwerdeebene ein, es treffe nicht zu, dass er keine Identitätspapiere eingereicht habe, vielmehr habe er eine Kopie seiner Identitätskarte abgegeben. Hinsichtlich des Vorwurfs der Blasphemie sei es leider Tatsache, dass die Kritik an einem Propheten oder dem Propheten Mohammed genüge, um in Pakistan eingesperrt oder getötet zu werden. Tatsache sei auch, dass viele Leute wegen kleiner, unbedeutender Aussagen gerade von Ihresgleichen verleumdet und damit weggeschafft würden, weil man sie als unbequem und ketzerisch einstufe. Wenn man zudem einen Grund suche, um jemandem zu schaden, könne dieser auch in der Vergangenheit gesucht werden, daher spiele das Jahr keine grosse Rolle. Im Polizeirapport stehe, dass er die Blasphemie erst vor ein paar Wochen begangen habe. Selbst wenn er jedoch beweisen würde, dass er ausser Landes gewesen und dies eine alte Geschichte sei, hätte er es trotzdem gemacht, was ein sicherer Grund wäre, ihn zu töten. In der Beschwerdeschrift wird weiter dargelegt, die Schwester des Beschwerdeführers habe ihn nicht über die Ermordung, sondern nur über den Tod des Vaters informiert, weil sie befürchtet habe, er wolle Rache nehmen und damit seine Angehörigen in Pakistan in Gefahr bringen. Erst als er später seinen Anwalt angerufen und um die Besorgung von Dokumenten gebeten habe, habe er von der Ermordung erfahren. Dass er von seinen Gegnern in der Schweiz gesucht worden sei, habe er von einem Freund erfahren, und dieser - so sei anzunehmen - von anderen Landsleuten. Solche Aussagen könnten nicht bewiesen werden. Tatsache sei, dass er Angst gehabt habe. In seinem separaten Schreiben vom 30. Januar 2012 fügte der Beschwerdeführer an, er habe sich im Jahr 2005 in der Moschee gegen das Gesetz der Blasphemie ausgesprochen. Der Imam habe ihn wegen seinen Äusserungen damals gewarnt. In der Folge sei der Imam für 5 Jahre für Koranstudien nach Karachi gegangen. Nach dessen Rückkehr hätten Leute ihm von der Ex-Freundin des Beschwerdeführers und der Terroristen-Gruppe erzählt, worauf sich der Imam an die Blasphemie im Jahr 2005 erinnert habe. Der Imam sei überredet worden, dies bei der Polizei anzuzeigen. In der Folge sei im Januar 2011 der Zeitungsreport erschienen.</w:t>
      </w:r>
    </w:p>
    <w:p>
      <w:r>
        <w:rPr>
          <w:b/>
        </w:rPr>
        <w:t>E. 6</w:t>
      </w:r>
    </w:p>
    <w:p>
      <w:r>
        <w:t>Der Nichteintretensgrund von Art. 32 Abs. 2 Bst. e AsylG enthält ein formelles (früheres Asylverfahren oder Rückkehr in den Heimat- oder Herkunftsstaat während des hängigen Verfahrens) und ein materielles Erfordernis (fehlende Hinweise betreffend Flüchtlingseigenschaft beziehungsweise Gewährung vorübergehenden Schutzes), welche im Einzelfall kumulativ erfüllt sein müssen und im Folgenden zu prüfen sind.</w:t>
      </w:r>
    </w:p>
    <w:p>
      <w:r>
        <w:rPr>
          <w:b/>
        </w:rPr>
        <w:t>E. 6.1</w:t>
      </w:r>
    </w:p>
    <w:p>
      <w:r>
        <w:t>Das am 15. Juli 2009 gestellte erste Asylgesuch des Beschwerdeführers wurde mit Verfügung des BFM vom 6. Oktober 2009 unter Anordnung der Wegweisung und des Wegweisungsvollzuges vollumfänglich abgelehnt. Diese Verfügung erwuchs in Rechtskraft, nachdem das Bundesverwaltungsgericht die dagegen erhobene Beschwerde mit Urteil vom 4. November 2009 abwies. Somit steht fest und wird im Übrigen auch nicht bestritten, dass der Beschwerdeführer in der Schweiz bereits ein Asylverfahren erfolglos durchlaufen hat. Das formelle Erfordernis des Nichteintretensgrundes von Art. 32 Abs. 2 Bst. e AsylG ist daher offensichtlich erfüllt.</w:t>
      </w:r>
    </w:p>
    <w:p>
      <w:r>
        <w:rPr>
          <w:b/>
        </w:rPr>
        <w:t>E. 6.2</w:t>
      </w:r>
    </w:p>
    <w:p>
      <w:r>
        <w:t>Damit bleibt im Rahmen der Eintretensfrage zu prüfen, ob Hinweise auf in der Zwischenzeit eingetretene Ereignisse bestehen, welche geeignet sind, die Flüchtlingseigenschaft zu begründen, oder die für die Gewährung vorübergehenden Schutzes relevant sind. In Bezug auf die Frage des Identitätsnachweises ist zunächst klarzustellen, dass Kopien von Identitätspapieren aufgrund ihrer Fälschungsanfälligkeit beziehungsweise der nur eingeschränkt möglichen Echtheitsprüfung zur einwandfreien Feststellung der Identität einer Person nicht geeignet sind (vgl. zu den Anforderungen an Identitätspapiere: BVGE 2007/7 E. 6). Insofern vermag der Einwand, der Beschwerdeführer habe die Kopie seiner Identitätskarte eingereicht, die vorinstanzliche Feststellung, es fehlten rechtsgenügliche Identitätsdokumente, nicht zu entkräften. Den Anforderungen an einen rechtsgenüglichen Identitätsnachweis vermag im Übrigen auch ein Geburtsschein nicht zu genügen (vgl. dazu a.a.O. E. 6). Damit bleibt es bei der vom BFM getroffenen Schlussfolgerung, wonach die eingereichten Beweismittel nicht zweifelsfrei der Person des Beschwerdeführers zugeordnet werden können. Aus diesem Grund erübrigt es sich auch, die Einreichung der vom Beschwerdeführer mit Schreiben vom 3. April 2012 und 2. Mai 2012 angekündigten Beweismittel beziehungsweise deren Übersetzung abzuwarten. Im Weiteren lassen auch die übrigen Ausführungen auf Beschwerdeebene die vorinstanzlichen Erwägungen nicht als unzutreffend erscheinen. Das Bundesamt hat zu Recht darauf hingewiesen, dass die Asylvorbringen im ersten Verfahren als unglaubhaft beurteilt worden sind. Vor diesem Hintergrund kann nicht jegliche Behauptung eines zwischenzeitlich eingetretenen Ereignisses, welches an die früheren Vorbringen anknüpft, den Nichteintretensentscheid verhindern. Hinsichtlich der vorgetragenen Ermordung des Vaters des Beschwerdeführers ist somit zunächst auf die zutreffenden Ausführungen in der angefochtenen Verfügung zu verweisen. Hinzu kommt, dass die vom Beschwerdeführer eingereichte Todesbestätigung zwar eine Kopfverletzung als Todesursache aufführt, womit jedoch nichts über die Ursache der Verletzung gesagt ist. Sodann kann auch der Aussage eines Freundes, vom Hörensagen von Drittpersonen Kenntnis davon erhalten zu haben, der Beschwerdeführer sei - nota bene nach mehreren Jahren - von seinen Gegnern in Genf gesucht worden, kein Gewicht beigemessen werden. Nur am Rande bleibt diesbezüglich zu erwähnen, dass der Wunsch nach einem Verbleib des Beschwerdeführers in der Schweiz, wäre er hier tatsächlich bereits gesucht worden, wenig nachvollziehbar erscheint. Auch in Bezug auf den behaupteten Blasphemie-Vorwurf kann auf die Erwägungen in der angefochtenen Verfügung verwiesen werden, die zu bestätigen sind. Alleine der Umstand, dass es in Pakistan zu (auch teilweise ungerechtfertigten) Anzeigen wegen Blasphemie kommt, erweist sich nicht per se als asylbegründend. Die vom Beschwerdeführer mit separatem Schreiben vom 30. Januar 2012 vorgetragene Erklärung vermag sodann die Zweifel an der Darstellung ebenfalls nicht zu beseitigen. Schliesslich bleibt anzumerken, dass es als gerichtsnotorisch gilt, dass insbesondere Asylsuchende aus Pakistan unter Inanspruchnahme unlauterer Machenschaften behördliche und andere Dokumente zur Stützung ihrer Asylvorträge beibringen (vgl. EMARK 1994 Nr. 26 S. 194). So kann etwa die Publikation von Zeitungsartikeln in Pakistan ohne weiteres käuflich erworben werden.</w:t>
      </w:r>
    </w:p>
    <w:p>
      <w:r>
        <w:rPr>
          <w:b/>
        </w:rPr>
        <w:t>E. 6.3</w:t>
      </w:r>
    </w:p>
    <w:p>
      <w:r>
        <w:t>Nach dem Gesagten steht fest, dass der Beschwerdeführer in der Schweiz bereits ein Asylverfahren erfolglos durchlaufen hat und keine Hinweise auf nach Abschluss des letzten Asylverfahrens eingetretene Ereignisse erkennbar sind, die geeignet wären, die Flüchtlingseigenschaft zu begründen oder die für die Gewährung vorübergehenden Schutzes relevant wären. Demzufolge ist das BFM zu Recht gestützt auf Art. 32 Abs. 2 Bst. e AsylG auf das zweite Asylgesuch des Beschwerdeführers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mit Hinweis auf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In den nachfolgenden Erwägungen wird der Wegweisungsvollzug in den Heimatstaat des Beschwerdeführers, Pakistan, geprüft. Selbstverständlich bleibt es dem Beschwerdeführer unbenommen, freiwillig zusammen mit seiner Partnerin und dem gemeinsamen Kind in deren Heimatstaat Sri Lanka auszureisen.</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der Beschwerdeführer keine Verfolgung oder begründete Furcht vor Nachteilen darzulegen vermag, welche geeignet wäre, seine Flüchtlingseigenschaft zu begründen, ist eine Rückkehr des Beschwerdeführers nach Pakistan demnach unter dem Aspekt von Art. 5 AsylG rechtmässig. 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Pakistan lässt den Wegweisungsvollzug zum heutigen Zeitpunkt nicht als unzulässig erscheinen. Der Beschwerdeführer kann aus dem Umstand, dass sich seine Partnerin mit dem (sehr wahrscheinlich gemeinsamen) Kind als Asylsuchende in der Schweiz aufhalten, auch gestützt auf Art. 8 EMRK nichts zu seinen Gunsten ableiten. Gemäss Art. 8 EMRK hat jede Person das Recht auf Achtung ihres Familienlebens. Unter gewissen Umständen lässt sich daraus ein Anspruch auf Erteilung einer Anwesenheitsbewilligung ableiten, da es Art. 8 EMRK verletzen kann, wenn einem Ausländer, dessen Familienangehörige hier weilen, die Anwesenheit in der Schweiz untersagt und damit das Familienleben vereitelt wird (vgl. BGE 126 II 335 E. 2.1 S. 339). Ein Familienmitglied muss dabei über ein gefestigtes Anwesenheitsrecht (schweizerische Staatsangehörigkeit, Niederlassungs- oder Aufenthaltsbewilligung, auf deren Verlängerung ein Anspruch besteht) verfügen. Nachdem das BFM auf das Asylgesuch der Partnerin des Beschwerdeführers ebenfalls nicht eingetreten ist und die dagegen erhobene Beschwerde mit demselben Datum abgelehnt wird, verfügen weder der Beschwerdeführer noch seine Partnerin über ein gefestigtes Anwesenheitsrecht. Bei dieser Sachlage kann offen bleiben, ob Art. 8 EMRK angesichts des unverheirateten Beschwerdeführers und der noch nicht lange bestehenden Lebensgemeinschaft überhaupt zur Anwendung gelangte.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Mangels gegenteiliger Anhaltspunkte in der Beschwerde oder in den weiteren Akten ist der Vollzug der Wegweisung für den Beschwerdeführer, wie von der Vorinstanz dargelegt, in Bezug auf seine Reintegrations-chancen im Heimatstaat zumutbar. Hingegen wendet der Beschwerdeführer ein, der Wegweisungsvollzug sei angesichts seiner familiären Situation unzumutbar. Zum einen sei seine Partnerin nicht islamischen Glaubens und zum anderen sei das gemeinsame Kind unehelich geboren. Beides sei in Pakistan nicht erlaubt und werde bestraft. Unzumutbar wäre jedoch auch, den Beschwerdeführer von seiner Familie zu trennen. Nach eigenen Angaben lernte der Beschwerdeführer seine heutige Partnerin im Jahr 2009 im EVZ H._______ kennen, wobei er damals Mitte Juli in die Schweiz eingereiste und das Land - nach Ergehen des negativen Asylentscheides - im Dezember 2009 wieder verliess. Weiter gab er an, er und seine Freundin seien seit I._______ 2010 ein Paar, als er sich während acht bis zehn Tagen in der Schweiz aufgehalten habe (vgl. C19/24 S. 18). Erst im Juli 2011 reiste der Beschwerdeführer erneut in die Schweiz ein, bevor er schliesslich am 10. August 2011 sein zweites Asylgesuch einreichte (vgl. C11/11 S. 8 f.). Damit steht fest, dass der Beschwerdeführer im Zeitpunkt der Aufnahme seiner Beziehung zu seiner Partnerin bereits rechtskräftig aus der Schweiz weggewiesen worden war, seine Partnerin musste als Asylsuchende während eines hängigen Verfahrens jederzeit mit einem negativen Entscheid beziehungsweise einem Wegweisungsentscheid rechnen. Ebenfalls musste dem Beschwerdeführer bekannt sein, dass seine Partnerin nicht islamischen Glaubens ist. Eine tatsächlich gelebte Beziehung zwischen den Partnern besteht sodann erst sei relativ kurzer Zeit. Angesichts dieser Umstände kann die familiäre Situation des Beschwerdeführers nicht zur Annahme der Unzumutbarkeit seines Wegweisungsvollzuges in den Heimatstaat führen. Der Vollständigkeit halber bleibt anzumerken, dass weder die Erwerbstätigkeit des Beschwerdeführers noch andere Bemühungen um Integration - auch wenn diese vom Bundesverwaltungsgericht durchaus anerkannt werden - eine andere Beurteilung der Zumutbarkeit des Wegweisungsvollzuges zulassen. Nachdem die Bestimmungen betreffend vorläufige Aufnahme infolge einer schwerwiegenden persönlichen Notlage (insb. Art. 44 Abs. 3-5 AsylG)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Ausführungen zu den verschiedenen positiven Äusserungen von privaten Drittpersonen erübrigen sich deshalb.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Mit vorliegendem Urteil ist das Beschwerdeverfahren abgeschlossen. Der Antrag auf Anordnung vorsorglicher Massnahmen, nämlich Unterlassung der Datenweitergabe an die Behörden des Heimatstaates, erweist sich als gegenstandslos. Im Übrigen geht aus den dem Gericht vorliegenden Akten nicht hervor, die Vorinstanz habe den Beschwerdeführer betreffende Daten an den Heimatstaat weitergegeben, weshalb auf das Eventualbegehren, es sei bei bereits erfolgter Datenweitergabe der Beschwerdeführer darüber in einer separaten Verfügung zu informieren, mangels Rechtsschutzinteresse im Rahmen dieses Verfahren nicht einzutreten ist.</w:t>
      </w:r>
    </w:p>
    <w:p>
      <w:r>
        <w:rPr>
          <w:b/>
        </w:rPr>
        <w:t>E. 11</w:t>
      </w:r>
    </w:p>
    <w:p>
      <w:r>
        <w:t>Mit Ergehen des vorliegenden Urteils wird auch das Gesuch um Erlass des Kostenvorschusses gegenstandslos. Aufgrund vorstehender Erwägungen erweisen sich die Beschwerdebegehren als aussichtslos. Das Gesuch des Beschwerdeführers um unentgeltliche Rechtspflege und Beiordnung einer unentgeltlichen Rechtsvertretung im Sinne von Art. 65 Abs. 1 und 2 VwVG ist damit - unabhängig von einer allfälligen prozessualen Bedürftigkeit des Beschwerdeführers - abzuweisen.</w:t>
      </w:r>
    </w:p>
    <w:p>
      <w:r>
        <w:rPr>
          <w:b/>
        </w:rPr>
        <w:t>E. 12</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