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D-5328/2011 vom 18. November 2011</w:t>
      </w:r>
    </w:p>
    <w:p>
      <w:r>
        <w:t>Bundesverwaltungsgericht, 2011-11-18, DE</w:t>
      </w:r>
    </w:p>
    <w:p>
      <w:r>
        <w:rPr>
          <w:b/>
        </w:rPr>
        <w:t xml:space="preserve">Quelle: </w:t>
      </w:r>
      <w:r>
        <w:t>https://mcp.opencaselaw.ch/entscheid/bvger_D-5328_2011</w:t>
      </w:r>
    </w:p>
    <w:p>
      <w:r>
        <w:t>FR: TAF D-5328/2011 du 18 novembre 2011</w:t>
      </w:r>
    </w:p>
    <w:p>
      <w:r>
        <w:t>IT: TAF D-5328/2011 del 18 novembre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und Art. 105 AsylG i.V.m. Art. 37 VGG i.V.m. Art. 48 Abs. 1 und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ihres negativen Asylentscheids hielt die Vorinstanz fest, bei den Übergriffen auf den Beschwerdeführer wegen seiner Volkszugehörigkeit handle es sich um keine schwerwiegenden, die eine Asylrelevanz zu entfalten vermöchten. Abgesehen davon habe Kosovo am17. Februar 2008 die Unabhängigkeit erklärt. Gemäss der neuen kosovarischen Verfassung, die am 15. Juni 2008 in Kraft getreten sei, sei auch nach dem Statuswechsel eine internationale zivile und militärische Präsenz vorgesehen. Im Kosovo bestünden mit der UNMIK (United Nations Interim Mission in Kosovo) und der EU zwei internationale Missionen. Die am 9. Dezember 2008 offiziell gestartete EULEX-Mission sei formal den Vereinten Nationen unterstellt und werde unter deren Oberhoheit und innerhalb eines statusneutralen Rahmens geführt. Die EULEX-Mission umfasse Polizisten, Richter, Staatsanwälte und Strafvollzugsbeamte. Die internationalen Sicherheitskräfte sowie die Kosovo Police (KP) garantierten die Sicherheit und seien weitgehend in der Lage, die ethnischen Minderheiten in Kosovo zu schützen. Bei Übergriffen intervenierten die Sicherheitskräfte regelmässig, und bei Straftaten gegen Angehörige von Minderheiten würden Ermittlungen aufgenommen. Zentrale Polizeifunktionen würden weiterhin von internationalen Polizeikräften wahrgenommen. Die neue kosovarische Verfassung gestehe den Minderheiten umfassende Rechte zu. Da demnach vom Vorhandensein eines adäquaten Schutzes durch den Heimatstaat auszugehen sei, fehle es den geltend gemachten Übergriffen auch aus diesem Grund an Asylrelevanz. Die Vorbringen des Beschwerdeführers hielten den Anforderungen an die Flüchtlingseigenschaft gemäss Art. 3 AsylG nicht stand. Zu den weiteren Vorbringen führte das BFM aus, angesichts dessen, dass das Asylgesuch der Eltern mit Verfügung vom 24. August 2011 ebenfalls abgelehnt und deren Wegweisung angeordnet worden sei, bestehe in Ermangelung einer Verfolgungssituation der Eltern kein Anlass zur Annahme, dass der Beschwerdeführer aus demselben Grund wie sie einer Verfolgung ausgesetzt gewesen wäre. Demzufolge erfülle er die Flüchtlingseigenschaft nicht, weshalb sein Asylgesuch abzulehnen sei. Der Vollzug der Wegweisung sei zulässig, zumutbar und möglich.</w:t>
      </w:r>
    </w:p>
    <w:p>
      <w:r>
        <w:rPr>
          <w:b/>
        </w:rPr>
        <w:t>E. 5.2</w:t>
      </w:r>
    </w:p>
    <w:p>
      <w:r>
        <w:t>In der Rechtsmitteleingabe wird im Wesentlichen gerügt, die vom Beschwerdeführer geltend gemachten Asylgründe seien unvollständig und falsch wiedergegeben worden. Es sei schlichtweg unzutreffend, wenn behauptet werde, er habe einzig in die Schweiz kommen wollen, weil es hier schöner sei. Er sei gemäss eigenen Angaben aufgrund seiner Volkszugehörigkeit von den Albanern mehrfach spitalreif verprügelt worden. Die Behauptung, man habe ihn lediglich beleidigt, treffe nicht zu. Da seine Eltern einer Verfolgungssituation ausgesetzt seien, müsse auch er sich vor Vergeltungsaktionen der Albaner fürchten. Weshalb sich von diesen Ausführungen im Anhörungsprotokoll keine Silbe finde, bleibe schleierhaft. Augenfällig sei jedenfalls, dass die bei der Anhörung beigezogene Dolmetscherin nicht unter Strafandrohung zur richtigen Übersetzung ermahnt worden sei. Sie gehöre im Übrigen nicht wie der Beschwerdeführer zu den Roma. Im Zusammenhang mit der Korrektheit der Übersetzung verstosse es vorliegend auch gegen das Gebot der Fairness im Sinne von Art. 29 Abs. 1 der Bundesverfassung der Schweizerischen Eidgenossenschaft vom 18. April 1999 (BV, SR 101), wenn der Beschwerdeführer nicht darauf hingewiesen worden sei, sich zur Anhörung von einem Dolmetscher eigener Wahl begleiten zu lassen (vgl. Art. 29 Abs. 2 AsylG). Sein in der Schweiz seit mehr als 20 Jahren wohnhafter Onkel F._______ hätte die Korrektheit der Übersetzung einwandfrei feststellen können. Unter den gegebenen Umständen sei die Anhörung nach Art. 29 Abs. 1 AsylG nochmals durchzuführen, damit der Beschwerdeführer auch tatsächlich in den Genuss eines fairen Verfahrens komme. Schliesslich könnten Roma-Angehörige - wie vorliegend - sehr wohl einer asylrelevanten Verfolgung ausgesetzt sein, zumal weder in Kosovo noch in Serbien eine sichere und zumutbare innerstaatliche Fluchtalternative bestehe.</w:t>
      </w:r>
    </w:p>
    <w:p>
      <w:r>
        <w:rPr>
          <w:b/>
        </w:rPr>
        <w:t>E. 5.3.1</w:t>
      </w:r>
    </w:p>
    <w:p>
      <w:r>
        <w:t>In casu gilt es zunächst in formeller Hinsicht zu prüfen, ob die vom Beschwerdeführer erhobene Rüge, seine Asylgründe seien unvollständig und unrichtig wiedergegeben worden, gerechtfertigt ist.</w:t>
      </w:r>
    </w:p>
    <w:p>
      <w:r>
        <w:rPr>
          <w:b/>
        </w:rPr>
        <w:t>E. 5.3.1.1</w:t>
      </w:r>
    </w:p>
    <w:p>
      <w:r>
        <w:t>Angesichts dessen, dass der Beschwerdeführer bei der Anhörung einerseits angab, er verstehe die Dolmetscherin gut, und andererseits mit seiner Unterschrift bestätigte, das Protokoll sei ihm in eine ihm verständliche Sprache übersetzt worden, sei vollständig und entspreche seinen freien Äusserungen (vgl. Anhörungsprotokoll vom 26. Juli 2011, A10 S. 1 F1, S. 6), muss sein Vorwurf der fehlerhaften Übersetzung als unbehelfliche Schutzbehauptung qualifiziert werden. Dies umso mehr, als die der Anhörung ebenfalls beiwohnende Hilfswerksvertreterin zum Protokoll keinerlei Einwände anbrachte (vgl. a.a.O., S. 7). Im Übrigen ist davon auszugehen, dass es sich bei der in Frage stehenden Dolmetscherin um eine berufserfahrene Person handelt. Vor diesem Hintergrund ist das auf Beschwerdeebene geltend gemachte Vorbringen, wonach der Beschwerdeführer von Albanern mehrmals spitalreif geschlagen worden sei, als nachgeschoben, mithin als unglaubhaft zu bewerten. Schliesslich ist festzuhalten, dass das BFM den Beschwerdeführer mit Vorladung vom13. Juli 2011 unter anderem über die Möglichkeit informierte, sich auf eigene Kosten von einem Beistand und allenfalls einem Dolmetscher seiner Wahl begleiten zu lassen (vgl. Akte A9), so dass vorliegend - entgegen dem Vorhalt in der Beschwerde - keine Verletzung der in Art. 29 Abs. 1 BV statuierten Verfahrensgarantie ersichtlich ist. Nach dem Gesagten kann davon ausgegangen werden, dass der Beschwerdeführer bereits in den Genuss eines fairen Verfahrens gekommen ist, weshalb es sich erübrigt, nochmals eine Anhörung im Sinne von Art. 29 Abs. 1 AsylG durchzuführen. Somit kann auch darauf verzichtet werden, das angebliche Verwandtschaftsverhältnis des Beschwerdeführers zu F._______ amtlich festzustellen.</w:t>
      </w:r>
    </w:p>
    <w:p>
      <w:r>
        <w:rPr>
          <w:b/>
        </w:rPr>
        <w:t>E. 5.3.1.2</w:t>
      </w:r>
    </w:p>
    <w:p>
      <w:r>
        <w:t>Den vorstehenden Ausführungen zufolge ist die Ermittlung des rechtserheblichen Sachverhalts seitens des BFM nicht zu bemängeln, weshalb der Antrag, die angefochtene Verfügung sei aufzuheben und die Sache zur Feststellung des vollständigen und richtigen Sachverhalts an die Vorinstanz zurückzuweisen, abgewiesen wird.</w:t>
      </w:r>
    </w:p>
    <w:p>
      <w:r>
        <w:rPr>
          <w:b/>
        </w:rPr>
        <w:t>E. 5.3.2</w:t>
      </w:r>
    </w:p>
    <w:p>
      <w:r>
        <w:t>Im Weiteren ist abzuklären, ob der Beschwerdeführer die Flüchtlingseigenschaft erfüllt beziehungsweise in Kosovo eine asylrelevante Verfolgung zu befürchten hat.</w:t>
      </w:r>
    </w:p>
    <w:p>
      <w:r>
        <w:rPr>
          <w:b/>
        </w:rPr>
        <w:t>E. 5.3.2.1</w:t>
      </w:r>
    </w:p>
    <w:p>
      <w:r>
        <w:t>Zu Beginn der Befragung erklärte der Beschwerdeführer, seine Eltern wüssten, weshalb die Familie den Kosovo verlassen habe; er selbst wisse es nicht. Er habe keine eigenen Asylgründe (vgl. Befragungsprotokoll vom 31. März 2011, A3 S. 4). Im weiteren Verlauf der Befragung und auch während der Anhörung machte er sodann Übergriffe seitens Drittpersonen als persönliche Probleme geltend. In diesem Zusammenhang gab er an, als er zur Schule gegangen sei, hätten albanische Schüler ihn oftmals wegen seiner Roma-Zugehörigkeit gehänselt (vgl. a.a.O.), physisch sei er nie angegriffen worden (vgl. A10 S. 2 F11). Neben den Beleidigungen in der Schule habe er in Kosovo keine Schwierigkeiten gehabt (vgl. a.a.O., S. 3 F24).</w:t>
      </w:r>
    </w:p>
    <w:p>
      <w:r>
        <w:rPr>
          <w:b/>
        </w:rPr>
        <w:t>E. 5.3.2.2</w:t>
      </w:r>
    </w:p>
    <w:p>
      <w:r>
        <w:t>In einem ersten Schritt gilt es festzuhalten, dass die vom Beschwerdeführer geltend gemachten Beleidigungen keine ernsthaften Nachteile im Sinne von Art. 3 AsylG darstellen, weshalb er bereits aus diesem Grund nicht als Flüchtling anerkannt werden kann. Da in casu die vorgebrachten Probleme nicht dem Staat zuzurechnen sind, ist im Weiteren die Verfügbarkeit des staatlichen Schutzes zu prüfen (vgl. Walter Stöckli, Asyl, in: Peter Uebersax/Beat Rudin/Thomas Hugi Yar/Thomas Geiser [Hrsg.] Ausländerrecht, Handbücher für die Anwaltspraxis, Band VIII, 2. Auflage, Basel 2009, S. 527 Rz. 11.9). Gemäss den Erkenntnissen des Bundesverwaltungsgerichts sorgen in Kosovo internationale Sicherheitskräfte und der Kosovo Police Service (KPS) für Sicherheit und sind weitgehend in der Lage, die ethnischen Minderheiten zu schützen. Sodann gesteht die nach der Unabhängigkeitserklärung vom 17. Februar 2008 am 15. Juni 2008 in Kraft getretene neue kosovarische Verfassung den Minderheiten umfassende Rechte zu, weshalb insgesamt vom Vorhandensein eines adäquaten Schutzes durch den Heimatstaat auszugehen ist. Diesbezüglich kann zur Vermeidung von Wiederholungen vollumfänglich auf die weiteren als zutreffend erachteten Erwägungen in der angefochtenen Verfügung verwiesen werden.</w:t>
      </w:r>
    </w:p>
    <w:p>
      <w:r>
        <w:rPr>
          <w:b/>
        </w:rPr>
        <w:t>E. 5.3.2.3</w:t>
      </w:r>
    </w:p>
    <w:p>
      <w:r>
        <w:t>In Anbetracht dieser Umstände ergibt sich zusammenfassend, dass die Vorbringen des Beschwerdeführers als nicht asylrelevant zu beurteilen sind. Da die Vorbringen seiner Eltern als unglaubhaft gewürdigt wurden (vgl. Urteil des Bundesverwaltungsgerichts D-5329/2011 vom18. November 2011), vermag er auch daraus nichts zu seinen Gunsten abzuleiten. Schliesslich führen die weiteren Ausführungen in der Beschwerde zu keiner anderen Einschätzung, weshalb es sich erübrigt, da-rauf einzugehen. Nach dem Gesagten hat das BFM das Asylgesuch des Beschwerdeführers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2009/50 E. 9 S. 733).</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Wegweisungsvollzugshindernissen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a.a.O., S. 568 Rz. 11.148).</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Kosovo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Angesichts des Umstands, dass in Kosovo derzeit weder Krieg, Bürgerkrieg noch eine Situation allgemeiner Gewalt herrscht, sind keine Anhaltspunkte dafür ersichtlich, dass der Beschwerdeführer bei einer Rückkehr dorthin konkret gefährdet wäre.</w:t>
      </w:r>
    </w:p>
    <w:p>
      <w:r>
        <w:rPr>
          <w:b/>
        </w:rPr>
        <w:t>E. 7.3.2</w:t>
      </w:r>
    </w:p>
    <w:p>
      <w:r>
        <w:t>Das Bundesverwaltungsgericht geht in seiner Praxis davon aus, dass der Vollzug der Wegweisung von albanischsprachigen Roma, Ashkali und Ägyptern nach Kosovo in der Regel zumutbar ist, sofern aufgrund einer Einzelfallabklärung (insbesondere durch Untersuchungen vor Ort; heute über die Schweizerische Botschaft, früher via das sogenannte Verbindungsbüro) feststeht, dass bestimmte Reintegrationskriterien - wie berufliche Ausbildung, Gesundheitszustand, Alter, ausreichende wirtschaftliche Lebensgrundlage und Beziehungsnetz in Kosovo - erfüllt sind (vgl. BVGE 2007/10). Damit wird die Rechtsprechung der ehemaligen Asylrekurskommission fortgeführt (vgl. Entscheidungen und Mitteilungen der Schweizerischen Asylrekurskommission [EMARK] 2006 Nr. 10 und 11).</w:t>
      </w:r>
    </w:p>
    <w:p>
      <w:r>
        <w:rPr>
          <w:b/>
        </w:rPr>
        <w:t>E. 7.3.3</w:t>
      </w:r>
    </w:p>
    <w:p>
      <w:r>
        <w:t>In der angefochtenen Verfügung wurde die Zumutbarkeit des Wegweisungsvollzugs bejaht, ohne dass eine Einzelfallabklärung vor Ort vorgenommen worden wäre. Das Urteil BVGE 2007/10 verlangt zwar nicht in jedem Fall zwingend - etwa als formelle und materielle Bedingung einer hinreichenden Erstellung des rechtserheblichen Sachverhaltes - eine Einzelfallabklärung vor Ort. Es kann auch ohne Einzelfallabklärung vor Ort der wesentliche Sachverhalt, der für die Beurteilung der Zumutbarkeit eines Wegweisungsvollzugs relevant ist, als hinreichend erstellt erachtet werden, wenn alle von der Rechtsprechung verlangten Integrationskriterien hinreichend substanziiert eruiert sind.</w:t>
      </w:r>
    </w:p>
    <w:p>
      <w:r>
        <w:rPr>
          <w:b/>
        </w:rPr>
        <w:t>E. 7.3.4</w:t>
      </w:r>
    </w:p>
    <w:p>
      <w:r>
        <w:t>Vorliegend ist der für die Beurteilung der Zumutbarkeit eines Wegweisungsvollzugs relevante Sachverhalt als hinreichend erstellt zu erachten, weshalb das BFM auf eine Einzelfallabklärung vor Ort verzichten konnte. Beim Beschwerdeführer handelt es sich um einen jungen, gemäss den Akten gesunden Mann, der über eine mehrjährige Schulbildung und eine Ausbildung als Automechaniker verfügt (vgl. A3 S. 2). Angesichts dessen kann davon ausgegangen werden, dass es ihm bei einer Rückkehr in den Kosovo trotz allfälliger Zugangsschwierigkeiten gelingen wird, eine Arbeitsstelle zu finden. Im Weiteren hat der Beschwerdeführer in Kosovo eine Wohnmöglichkeit, da seine Eltern ein Haus besitzen (vgl. A10 S. 4 F26, Anhörungsprotolle der Eltern vom 26. Juli 2011, B12 S. 2 F6, B13 S. 2 F12). Darüber hinaus ist in Kosovo auch ein tragfähiges soziales Beziehungsnetz vorhanden, weil seine Eltern und Geschwister ebenfalls in ihre Heimat zurückkehren müssen (vgl. Urteil des Bundesverwaltungsgerichts D-5329/2011 vom 18. November 2011) und sich dort mehrere Verwandte aufhalten (vgl. A3 S. 3, B12 S. 3 F16-17, B13 S. 2F7 ff.). Sodann sind keine weiteren persönlichen Gründe ersichtlich, aufgrund derer geschlossen werden könnte, der Beschwerdeführer geriete im Falle der Rückkehr in eine existenzbedrohende Situation, weshalb der Vollzug der Wegweisung - in Übereinstimmung mit der Vorinstanz - als zumutbar zu bewerten ist.</w:t>
      </w:r>
    </w:p>
    <w:p>
      <w:r>
        <w:rPr>
          <w:b/>
        </w:rPr>
        <w:t>E. 7.4</w:t>
      </w:r>
    </w:p>
    <w:p>
      <w:r>
        <w:t>Schliesslich obliegt es dem Beschwerdeführer, sich bei der zuständigen Vertretung des Heimatstaates die für eine Rückkehr notwendigen Reisedokumente zu beschaffen (Art. 8 Abs. 4 AsylG, dazu auch BVGE 2008/34 E. 12 S. 513 - 515),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sind die Kosten dem Beschwerde-führer aufzuerlegen (Art. 63 Abs. 1 VwVG), auf insgesamt Fr. 600.- festzusetzen (Art. 1 - 3 des Reglements vom 21. Februar 2008 über die Kosten und Entschädigungen vor dem Bundesverwaltungsgericht [VGKE,SR 173.320.2]) und mit dem am 25. Oktober 2011 in gleicher Höhe einbezahlten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