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D-5317/2013 vom 11. Dezember 2013</w:t>
      </w:r>
    </w:p>
    <w:p>
      <w:r>
        <w:t>Bundesverwaltungsgericht, 2013-12-11, DE</w:t>
      </w:r>
    </w:p>
    <w:p>
      <w:r>
        <w:rPr>
          <w:b/>
        </w:rPr>
        <w:t xml:space="preserve">Quelle: </w:t>
      </w:r>
      <w:r>
        <w:t>https://mcp.opencaselaw.ch/entscheid/bvger_D-5317_2013</w:t>
      </w:r>
    </w:p>
    <w:p>
      <w:r>
        <w:t>FR: TAF D-5317/2013 du 11 décembre 2013</w:t>
      </w:r>
    </w:p>
    <w:p>
      <w:r>
        <w:t>IT: TAF D-5317/2013 del 11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werden in der Beschwerde formelle Rügen erhoben, das BFM habe den Sachverhalt falsch und unvollständig festgestellt Das BFM habe die Vorbringen des Beschwerdeführers zu Unrecht als widersprüchlich eingeschätzt und die Folgerung, wonach die Ausstellung eines Reisepas­ses durch das afghanische Konsulat gegen eine Verfolgung des Beschwerdeführers spreche, nicht genügend begründet. Aus der Verfügung sei nicht ersichtlich, ob eine Abklärung bezüglich der aktuellen Situation in Afghanistan getätigt worden sei. Dies wäre jedoch im vorliegenden Fall von immenser Wichtigkeit gewesen, könnte sie doch die vorliegenden Ausweisungshindernisse belegen, und über die aktuellen Gefahren im Heimatstaat des Beschwerdeführers Aufschluss geben. Die Vorinstanz habe weder die Interessenabwägung vorgenommen, noch den Sachverhalt vollständig abgeklärt. Die gesamte Verfügung beruhe vielmehr auf etlichen Verallgemeinerungen und Pauschalierungen, und stelle einen Ermessensmissbrauch im Sinne einer willkürlichen Verfügung dar, da der rechtlich relevante Sachverhalt einerseits ungenügend abgeklärt und anderseits die Einzelfallprüfung nicht vorgenommen worden sei.</w:t>
      </w:r>
    </w:p>
    <w:p>
      <w:r>
        <w:rPr>
          <w:b/>
        </w:rPr>
        <w:t>E. 5.2</w:t>
      </w:r>
    </w:p>
    <w:p>
      <w:r>
        <w:t>Gemäss der im Verwaltungsverfahren geltenden Untersuchungsma­xime hat die Behörden den rechtserheblichen Sachverhalt von Amtes we­gen festzustellen (Art. 12 VwVG). Dieser allgemeine Grundsatz wird relativiert durch die Mitwirkungspflicht der Parteien, welche namentlich insoweit greift, als eine Partei das Verfahren durch eigenes Begehren ein­geleitet hat oder selbständige Begehren stellt (Art. 13 Abs. 1 Bst. a und b VwVG).</w:t>
      </w:r>
    </w:p>
    <w:p>
      <w:r>
        <w:rPr>
          <w:b/>
        </w:rPr>
        <w:t>E. 5.3</w:t>
      </w:r>
    </w:p>
    <w:p>
      <w:r>
        <w:t>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Diesen Anforderungen hat das BFM mit den ausführlichen Erwägungen im ange­fochtenen Entscheid Genüge getan. Der Umstand, dass das BFM eine andere Schlussfolgerung zog als der Beschwerdeführer, stellt somit keine Verletzung des rechtlichen Gehörs dar, weshalb die entsprechenden Rüge nicht gehört werden kann und kein Anlass besteht, die angefochtene Sache zur Neubeurteilung an das BFM zurückzuweisen.</w:t>
      </w:r>
    </w:p>
    <w:p>
      <w:r>
        <w:rPr>
          <w:b/>
        </w:rPr>
        <w:t>E. 5.4</w:t>
      </w:r>
    </w:p>
    <w:p>
      <w:r>
        <w:t>Im Übrigen fällt der Entscheid über den weiteren Aufenthalt oder eine allfällige Wegweisung des Beschwerdeführers in die Zuständigkeit der kantonalen Migrationsbehörden wie nachfolgend noch dargelegt wird (vgl. E. 7.2).</w:t>
      </w:r>
    </w:p>
    <w:p>
      <w:r>
        <w:rPr>
          <w:b/>
        </w:rPr>
        <w:t>E. 5.5</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S. 100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5.6</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w:t>
      </w:r>
    </w:p>
    <w:p>
      <w:r>
        <w:rPr>
          <w:b/>
        </w:rPr>
        <w:t>E. 6.1</w:t>
      </w:r>
    </w:p>
    <w:p>
      <w:r>
        <w:t>Nach Prüfung der Akten durch das Bundesverwaltungsgericht ist - in Übereinstimmung mit der Vorinstanz ist - festzustellen, dass die Asylvorbringen des Beschwerdeführers den Anforderungen an die Flücht­lingseigenschaft gemäss Art. 3 AsylG nicht standzuhalten vermögen, weshalb diesbezüglich vorab auf die zutreffenden vorinstanzlichen Erwägungen zu verweisen ist (vgl. Bst. I.b. vorstehend). Der Rechtsmit­teleingabe sind keine stichhaltigen Entgegnungen zu entnehmen, zumal der Beschwerdeführer lediglich bestreitet, sich widersprochen zu haben. Der Bestreitungsvermerk ist jedoch nicht geeignet, die aufgezeigten Unstimmigkeiten auszuräumen oder aufzuklären. Um Wiederholungen zu vermeiden, kann auf die zutreffenden Erwägungen in der angefochtenen Verfügung des BFM verwiesen werden.</w:t>
      </w:r>
    </w:p>
    <w:p>
      <w:r>
        <w:rPr>
          <w:b/>
        </w:rPr>
        <w:t>E. 6.2</w:t>
      </w:r>
    </w:p>
    <w:p>
      <w:r>
        <w:t>Angesichts der aufgezeigten Sachlage erübrigt es sich, auf die weite­ren Ausführungen in der Beschwerde einzugehen, da diese nicht geeig­net sind, zu einer anderen rechtlichen Würdigung der Aktenlage zu füh­ren. Es ist somit festzustellen, dass der Beschwerdeführer einen flüchtlingsrechtlich bedeutsamen Sachverhalt weder nachgewiesen noch glaubhaft gemacht hat. Die Feststellung des BFM, der Beschwerdeführer erfüllte die Flüchtlingseigenschaft nicht, ist dementsprechend zu bestäti­gen. Es besteht kein Anlass, die Sache an die Vorinstanz zurückzuwei­sen. Das Bundesamt lehnte das Asylgesuch zu Recht ab.</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Gemäss Art. 14 Abs. 1 AsylG kann vom Zeitpunkt der Einreichung ei­nes Asylgesuches bis zur Ausreise nach einer rechtskräftig angeordneten Wegweisung, nach einem Rückzug des Asylgesuches oder bis zur Anord­nung einer Ersatzmassnahme bei nicht durchführbarem Vollzug kein Verfahren um Erteilung einer fremdenpolizeilichen Aufenthaltsbewilligung eingeleitet werden, ausser es besteht ein Anspruch auf Erteilung (Grund­satz der Ausschliesslichkeit des Asylverfahrens). Ein Anspruch auf Ertei­lung einer Aufenthaltsbewilligung im Sinne von Art. 14 Abs. 1 AsylG be­steht beispielsweise dann, wenn eine asylsuchende Person eine Schwei­zer Bürgerin beziehungsweise einen Schweizer Bürger oder eine hier nie­dergelassene Person aus dem Ausland heiratet (vgl. EMARK 2001 Nr. 21 E. 7a S. 173). Dies gilt auch dann, wenn nach Beendigung der ehelichen Gemeinschaft, die Verlängerung der Aufenthaltsbewilligung strittig ist. Das BFM hat somit in der angefochtenen Verfügung zu Recht festgestellt, dass der Entscheid über die Wegweisung in die Zuständigkeit der kantonalen Migrationsbehörden fällt und das BFM darüber nicht zu befinden hat.</w:t>
      </w:r>
    </w:p>
    <w:p>
      <w:r>
        <w:rPr>
          <w:b/>
        </w:rPr>
        <w:t>E. 7.3</w:t>
      </w:r>
    </w:p>
    <w:p>
      <w:r>
        <w:t>Im Übrigen kann Gegenstand des streitigen Verfahrens nur sein, was Gegenstand des vorinstanzlichen Verfahrens war oder nach richtiger Auslegung hätte sein sollen. Gegenstände, über welche die erstinstanzlich verfügende Behörde nicht entschieden hat, darf die zweite Instanz nicht beurteilen. Der Streitgegenstand darf im Laufe des Beschwer­deverfahrens weder erweitert noch qualitativ verändert werden. Er kann sich also höchstens verengen und um nicht streitige Punkte reduzieren, nicht aber ausweiten (vgl. BVGE 2010/12 E. 1.2.1 S. 150 m. w. H.). In seiner Eingabe vom 20. September 2013 beantragte der Be­schwerdeführer durch seinen Rechtsvertreter, eventualiter sei die Unzumutbarkeit des Wegweisungsvollzuges festzustellen und es sei ihm in der Schweiz die vorläufige Aufnahme zu gewähren. Damit weitet er jedoch den Anfechtungsgegenstand unzulässig auf die Wegweisung bezie­hungsweise den Vollzug der Wegweisung aus, weshalb darauf nicht einzutreten ist.</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7. Oktober 2013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