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D-5309/2016 vom 19. April 2017</w:t>
      </w:r>
    </w:p>
    <w:p>
      <w:r>
        <w:t>Bundesverwaltungsgericht, 2017-04-19, DE</w:t>
      </w:r>
    </w:p>
    <w:p>
      <w:r>
        <w:rPr>
          <w:b/>
        </w:rPr>
        <w:t xml:space="preserve">Quelle: </w:t>
      </w:r>
      <w:r>
        <w:t>https://mcp.opencaselaw.ch/entscheid/bvger_D-5309_2016</w:t>
      </w:r>
    </w:p>
    <w:p>
      <w:r>
        <w:t>FR: TAF D-5309/2016 du 19 avril 2017</w:t>
      </w:r>
    </w:p>
    <w:p>
      <w:r>
        <w:t>IT: TAF D-5309/2016 del 19 aprile 2017</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 Aufgrund der Zuweisung des Beschwerdeführers in den Testbetrieb VZ Zürich kommt zudem die TestV zur Anwendung (Art. 1 Abs. 1 TestV).</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38 TestV i.V.m. Art. 112b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Nach Prüfung der Akten durch das Gericht ist - in Übereinstimmung mit dem SEM - festzustellen, dass die Vorbringen des Beschwerdeführers zur LTTE-Vergangenheit seines Vaters sowie zu den in Sri Lanka angeblich erlittenen Verfolgungsmassnahmen den Anforderungen an die Glaubhaftigkeit gemäss Art. 7 AsylG nicht standzuhalten vermögen. Zur Vermeidung von Wiederholungen kann auf die entsprechenden Erwägungen in der angefochtenen Verfügung verwiesen werden. Ergänzend dazu ist festzuhalten, dass der Beschwerdeführer auch zur angeblichen Suche nach ihm vor allem bei seiner Mutter - insbesondere in zeitlicher Hinsicht - nicht einmal ansatzweise genaue Angaben machen konnte (vgl. Akten SEM A 19 F100 ff., 123 ff. sowie 152 ff.).</w:t>
      </w:r>
    </w:p>
    <w:p>
      <w:r>
        <w:rPr>
          <w:b/>
        </w:rPr>
        <w:t>E. 4.2</w:t>
      </w:r>
    </w:p>
    <w:p>
      <w:r>
        <w:t>Die Beschwerdevorbringen sind nicht geeignet, die vom SEM aufgezeigten Unglaubhaftigkeitselemente in den Ausführungen des Beschwerdeführers plausibel zu erklären. Zwar vermochte der Beschwerdeführer in der Beschwerdeschrift eine weitaus detailliertere Schilderung seiner angeblichen Festnahme im August 2013 sowie weitere Angaben zur behaupteten LTTE-Verbindung seines Vaters zu machen. Allerdings sind diese Ausführungen als nachgeschoben zu qualifizieren. Die Erklärung des Beschwerdeführers für seine unsubstanziierten Vorbringen im vorinstanzlichen Verfahren, er habe ein extremes Misstrauen gegenüber fremden Personen und sei an der Anhörung aus Nervosität und Angst stets verwirrt gewesen, vermag nicht zu überzeugen. Es ist - wie bereits in der Verfügung vom 10. Oktober 2016 festgehalten - nicht nachvollziehbar, weshalb er gegenüber den Behörden des Landes, unter dessen Schutz er sich stellen will, derart misstrauisch ist. Auch der Hinweis auf seine Kultur, in welcher es absolut verpönt sei, Autoritäten zu widersprechen respektive Gegenfragen zu stellen, vermag die Unsubstanziiertheit seiner Aussagen nicht überzeugend zu erklären. Sodann sind zumindest die Angaben zur angeblichen Tätigkeit seines Vaters für die LTTE - insbesondere in zeitlicher Hinsicht - nach wie vor als vage zu bezeichnen. Dies erstaunt, zumal der Beschwerdeführer seine Gefährdung damit begründet. Es wäre daher zu erwarten gewesen, dass er sich mit seinem Vater - spätestens nach dem ablehnenden Entscheid des SEM - eingehender über dessen angebliche Tätigkeit für die LTTE unterhalten hätte und demzufolge genauere Angaben hätte machen können. Überdies enthält die Beschwerdeschrift - gerade was die anlässlich der eigenen Festnahme erlebte Misshandlung anbelangt - mit den Angaben anlässlich der Anhörung im Widerspruch stehende Äusserungen (vgl. Beschwerdeschrift S. 3; A 19 S. 6 f.). So gab der Beschwerdeführer selber an, er sei nur eine halbe Stunde lang befragt und geschlagen worden. Am nächsten Tag sei er entlassen worden. Nach der Darstellung in der Beschwerde soll er Beschwerdeführer indessen zunächst etwa eine halbe Stunde geschlagen worden sein, dann sei nach zwei Stunden ein anderer Befrager hereingekommen und habe ihn erneut für etwa 15 Minuten geschlagen. Solche gesteigerten Vorbringen sprechen nicht für deren Glaubhaftigkeit. Schliesslich sind auch die in der Beschwerdeschrift zitierten und sich nicht direkt auf den Beschwerdeführer beziehenden Berichte von Menschenrechtsorganisationen ungeeignet, dessen unglaubhafte Vorbringen in einem glaubhafteren Licht erscheinen lassen.</w:t>
      </w:r>
    </w:p>
    <w:p>
      <w:r>
        <w:rPr>
          <w:b/>
        </w:rPr>
        <w:t>E. 4.3</w:t>
      </w:r>
    </w:p>
    <w:p>
      <w:r>
        <w:t>Was die mit Schreiben vom 31. Januar 2017 nachgereichten Beweismittel betrifft, ist Folgendes festzuhalten: Die Ausführungen im Schreiben der Mutter des Beschwerdeführers (F._______) vom 25. August 2016 sind unsubstanziiert und - gegenüber den bereits knappen Aussagen des Beschwerdeführers - lückenhaft. So wird beispielsweise die Inhaftierung des Beschwerdeführers sowie die Rückkehr seines Vaters nach Sri Lanka zwecks Ferien nicht erwähnt. Zudem ist aufgrund der Verwandtschaft die Wahrscheinlichkeit von Gefälligkeitsaussagen nicht von der Hand zu weisen. Dieses Schreiben ist daher nicht geeignet, die behauptete Gefährdung des Beschwerdeführers glaubhaft zu machen. Daran ändert auch die auf dem Schreiben angebrachte Bestätigung einer "Friedensrichterin" (Justice of the peace) nichts. Auch dem Schreiben eines Parlamentsmitgliedes vom 5. September 2016 kommt kein Beweiswert zu, da sich daraus nicht ergibt, wie der Parlamentarier in den Besitz der dargelegten Informationen gelangte. Im Übrigen stimmen die Ausführungen darin zum Teil nicht mit den Aussagen des Beschwerdeführers überein (z.B. Datum der Ausreise nach Katar). Schliesslich ist auch die eingereichte IKRK-Karte nicht geeignet, die Verfolgungsvorbringen des Beschwerdeführers glaubhaft zu machen. Selbst wenn diese Karte - wie im Schreiben vom 31. Januar 2017 ausgeführt - belegen soll, dass sein Vater während der Haft vom IKRK besucht worden sei, ergibt sich daraus noch nicht, dass dieser zu dem vom Beschwerdeführer genannten Zeitpunkt und aufgrund einer angeblichen Verbindung zu den LTTE inhaftiert war.</w:t>
      </w:r>
    </w:p>
    <w:p>
      <w:r>
        <w:rPr>
          <w:b/>
        </w:rPr>
        <w:t>E. 4.4</w:t>
      </w:r>
    </w:p>
    <w:p>
      <w:r>
        <w:t>Nach dem Gesagten kann dem Beschwerdeführer nicht geglaubt werden, dass sein Vater für die LTTE tätig war und er selbst deswegen in den Fokus der sri-lankischen Behörden geriet. Seine problemlosen Ausreisen - unter Verwendung des eigenen Reisepasses - aus Sri Lanka am (...) 2013 nach Katar und am (...) 2016 nach Dubai (vgl. A 19 F7, 119 f. und 183 ff.; A 15 S. 2) sowie die ebenfalls ohne behördliches Eingreifen erfolgte Einreise nach Sri Lanka nach dem Aufenthalt in Katar (vgl. A 19 S. 13) bestätigen diese Einschätzung. Nur am Rande sei erwähnt, dass die Darstellung in der Beschwerde, der Beschwerdeführer habe sich nach der Rückkehr zunächst drei Tage in Colombo aufgehalten und sich telefonisch nach der Situation seiner Familie im Norden erkundigt (S. 3) in den Angaben anlässlich der Anhörung keine Stütze findet (vgl. A 19 S. 13 zu F121).</w:t>
      </w:r>
    </w:p>
    <w:p>
      <w:r>
        <w:rPr>
          <w:b/>
        </w:rPr>
        <w:t>E. 5.1</w:t>
      </w:r>
    </w:p>
    <w:p>
      <w:r>
        <w:t>Der Beschwerdeführer machte in der Beschwerde sodann (sinngemäss) geltend, er sei bei einer Rückkehr nach Sri Lanka gefährdet, weil davon auszugehen sei, dass er aufgrund der Verletzung der Meldepflicht nach seiner Inhaftierung sowie wegen der Beziehung seines Vater zu den LTTE auf die "Stop List" gesetzt worden sei. Darüber hinaus würde er aufgrund seiner Herkunft aus dem Norden, seines Alters, der illegalen Ausreise und des Umstands, dass er über keine Reisepapiere verfüge, bei einer Rückkehr den sri-lankischen Behörden auffallen.</w:t>
      </w:r>
    </w:p>
    <w:p>
      <w:r>
        <w:rPr>
          <w:b/>
        </w:rPr>
        <w:t>E. 5.2</w:t>
      </w:r>
    </w:p>
    <w:p>
      <w:r>
        <w:t>Das Bundesverwaltungsgericht hat im - auch in der Beschwerdeschrift erwähnten - Referenzurteil E-1866/2015 vom 15. Juli 2016 eine aktuelle Analyse der Situation von (tamilischen) Rückkehrenden nach Sri Lanka vorgenommen und sich bei der Beurteilung deren Risikos, Opfer ernsthafter Nachteile in Form von Verhaftung und Folter zu werden, an verschiedenen Risikofaktoren orientiert. Es hat dabei festgehalten,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Internationale Organisation für Migration (IOM) begleitete Rückführung sowie gut sichtbare Narben schwach risikobegründende Faktoren darstellen. Dies bedeute, dass diese in der Regel für sich alleine genommen keine relevante Furcht vor ernsthaften Nachteilen zu begründen vermöchten (vgl. weitergehend die ausführlichen Erwägungen im Referenzurteil a.a.O. E. 8).</w:t>
      </w:r>
    </w:p>
    <w:p>
      <w:r>
        <w:rPr>
          <w:b/>
        </w:rPr>
        <w:t>E. 5.3</w:t>
      </w:r>
    </w:p>
    <w:p>
      <w:r>
        <w:t>Nachdem dem Beschwerdeführer nicht geglaubt werden kann, dass er in Sri Lanka in den Fokus der sri-lankischen Behörden geriet respektive dass er inhaftiert und ihm danach eine Meldepflicht auferlegt wurde, ist seinem Beschwerdevorbringen, er sei wegen Verletzung seiner Meldepflicht höchstwahrscheinlich auf die "Stop-List" gesetzt worden, die Grundlage entzogen. Aufgrund der Aktenlage ist auch kein anderer stark risikobegründender Faktor ersichtlich, zumal die Vorbringen des Beschwerdeführers zur LTTE-Verbindung seines Vaters - wie aufgezeigt - ebenfalls als unglaubhaft zu erachten sind. Zwar soll eine Tante mütterlicherseits ein LTTE-Mitglied gewesen sein und für diese gekämpft haben (vgl. A 19 F181). Allerdings ist abgesehen davon, dass dieses Vorbringen an der Anhörung nicht nur knapp ausfiel, insbesondere festzustellen, dass der Beschwerdeführer an keiner Stelle irgendwelche Verfolgungsmassnahmen im Zusammenhang mit seiner Tante erwähnte, die gemäss seinen Angaben verschollen sei. Mit der Herkunft aus dem Norden des Landes, seinem Alter, der illegalen Ausreise - wobei dieses Vorbringen protokollwidrig ist (vgl. A 15 S. 2; A 19 F119 und 167 f.) - sowie dem Umstand, dass der Beschwerdeführer angeblich über keine Reisepapiere verfügen soll, sind vorliegend - wenn überhaupt - höchstens schwach risikobegründende Faktoren gegeben. Auch in ihrer Gesamtheit betrachtet, besteht kein hinreichender Anlass zur Annahme, dass der Beschwerdeführer im Falle einer Rückkehr nach Sri Lanka Massnahmen zu befürchten hätte, welche über eine einfache Kontrolle hinausgehen. Mithin ist aufgrund der Aktenlage nicht davon auszugehen, dass die sri-lankischen Behörden ihm ein Interesse am Wiederaufflammen des tamilischen Separatismus zuschreiben würden.</w:t>
      </w:r>
    </w:p>
    <w:p>
      <w:r>
        <w:rPr>
          <w:b/>
        </w:rPr>
        <w:t>E. 6</w:t>
      </w:r>
    </w:p>
    <w:p>
      <w:r>
        <w:t>Zusammenfassend ist festzustellen, dass das SEM die Flüchtlingseigenschaft des Beschwerdeführers zu Recht verneint und dessen Asylgesuch abgelehnt hat. An dieser Einschätzung vermögen die weiteren Ausführungen in der Beschwerdeschrift nichts zu ändern.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Da es dem Beschwerdeführer nicht gelungen ist, eine asylrechtlich erhebliche Gefährdung nachzuweisen oder glaubhaft zu machen, kann der in Art. 5 AsylG verankerte Grundsatz der Nichtrückschiebung im vorliegenden Verfahren keine Anwendung finden. Eine Rückkehr nach Sri Lanka ist demnach unter dem Aspekt von Art. 5 AsylG rechtmässig.</w:t>
      </w:r>
    </w:p>
    <w:p>
      <w:r>
        <w:rPr>
          <w:b/>
        </w:rPr>
        <w:t>E. 8.2.3</w:t>
      </w:r>
    </w:p>
    <w:p>
      <w:r>
        <w:t>Sodann ergeben sich - wie auch in den in der angefochtenen Verfügung "verlorengegangenen" und mit der Vernehmlassung nachgelieferten Erwägungen des SEM ausgeführt wurde -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vom 28. Februar 2008, Grosse Kammer 37201/06, §§ 124-127 m.w.H.). Der EGMR hat sich mit der Gefährdungssituation im Hinblick auf eine EMRK-widrige Behandlung namentlich für Tamilen, die aus einem europäischen Land nach Sri Lanka zurückkehren müssen, wiederholt befasst. Dabei unterstreicht der Gerichtshof, dass nicht in genereller Weise davon auszugehen sei, zurückkehrenden Tamilen drohe eine unmenschliche Behandlung. Vielmehr müssten im Rahmen der Beurteilung, ob der Betroffene ernsthafte Gründe für die Befürchtung habe, die Behörden hätten an seiner Festnahme und Befragung ein Interesse, verschiedene Aspekte - welche im Wesentlichen durch die im bereits genannten Referenzurteil identifizierten Risikofaktoren abgedeckt sind (vgl. E. 5.2 vorstehend) - in Betracht gezogen werden, wobei dem Umstand gebührend Beachtung zu schenken sei, dass diese einzelnen Aspekte, auch wenn sie für sich alleine betrachtet möglicherweise kein "real risk" darstellen, diese Schwelle bei einer kumulativen Würdigung erreichen könnten (vgl. Referenzurteil a.a.O. E. 12.2 m.w.H.). Nachdem der Beschwerdeführer nicht glaubhaft gemacht hat, dass er befürchten müsse, bei einer Rückkehr nach Sri Lanka die Aufmerksamkeit der sri-lankischen Behörden in einem flüchtlingsrechtlich relevanten Ausmass auf sich zu ziehen, bestehen auch keine Anhaltspunkte dafür, ihm würde aus demselben Grund eine menschenrechtswidrige Behandlung in Sri Lanka drohen.</w:t>
      </w:r>
    </w:p>
    <w:p>
      <w:r>
        <w:rPr>
          <w:b/>
        </w:rPr>
        <w:t>E. 8.2.4</w:t>
      </w:r>
    </w:p>
    <w:p>
      <w:r>
        <w:t>Weder die allgemeine Menschenrechtssituation in Sri Lanka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In Sri Lanka herrscht weder Krieg noch eine Situation allgemeiner Gewalt. Der bewaffnete Konflikt zwischen der sri-lankischen Regierung und den LTTE ist im Mai 2009 zu Ende gegangen. Im erwähnten Referenzurteil hat das Bundesverwaltungsgericht seine bisherige Rechtsprechung (vgl. BVGE 2011/24) und die gegenwärtige Praxis des SEM bestätigt, wonach der Wegweisungsvollzug unter anderem in die Nordprovinz (mit Ausnahme des Vanni-Gebietes) grundsätzlich zumutbar ist.</w:t>
      </w:r>
    </w:p>
    <w:p>
      <w:r>
        <w:rPr>
          <w:b/>
        </w:rPr>
        <w:t>E. 8.3.3</w:t>
      </w:r>
    </w:p>
    <w:p>
      <w:r>
        <w:t>Der Beschwerdeführer stammt aus B._______, mithin aus dem Distrikt C._______, wohin der Vollzug der Wegweisung grundsätzlich zumutbar ist. Aufgrund seiner Angaben ist zudem davon auszugehen, dass neben seiner Mutter und seinen Geschwistern weitere Verwandte in Sri Lanka leben. Bei einer Rückkehr nach Sri Lanka kann er demnach auf ein bestehendes familiäres Beziehungsnetz zurückgreifen. Sofern erforderlich könnten ihn auch seine im Ausland wohnhaften Verwandten (Vater und Onkel) finanziell unterstützen. Ferner ist er jung, gemäss Akten gesund und verfügt über eine gute Schulbildung sowie über Arbeitserfahrung. Es ist ihm deshalb zuzumuten, sich bei einer Rückkehr eine neue wirtschaftliche Existenz aufzubauen. Der Vollzug der Wegweisung ist somit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20. Oktober 2016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