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D-5294/2011 vom 28. August 2012</w:t>
      </w:r>
    </w:p>
    <w:p>
      <w:r>
        <w:t>Bundesverwaltungsgericht, 2012-08-28, DE</w:t>
      </w:r>
    </w:p>
    <w:p>
      <w:r>
        <w:rPr>
          <w:b/>
        </w:rPr>
        <w:t xml:space="preserve">Quelle: </w:t>
      </w:r>
      <w:r>
        <w:t>https://mcp.opencaselaw.ch/entscheid/bvger_D-5294_2011</w:t>
      </w:r>
    </w:p>
    <w:p>
      <w:r>
        <w:t>FR: TAF D-5294/2011 du 28 août 2012</w:t>
      </w:r>
    </w:p>
    <w:p>
      <w:r>
        <w:t>IT: TAF D-5294/2011 del 28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29. August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den formellen Rügen - lediglich die Frage, ob das Bundesamt den Vollzug der Wegweisung zu Recht als zulässig, zumutbar und möglich erklärt hat.</w:t>
      </w:r>
    </w:p>
    <w:p>
      <w:r>
        <w:rPr>
          <w:b/>
        </w:rPr>
        <w:t>E. 5.1</w:t>
      </w:r>
    </w:p>
    <w:p>
      <w:r>
        <w:t>Der Beschwerdeführer macht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in der angefochtenen Verfügung ohne Begründung von der langjährigen Praxis des Bundesverwaltungsgerichts abgewichen sei. Daher sei die angefochtene Verfügung in den Dispositionspunkten 4 und 5 infolge Verletzung des Grundsatzes des rechtlichen Gehörs aufzuheben und an die Vorinstanz zur Neubeurteilung zurückzuweisen.</w:t>
      </w:r>
    </w:p>
    <w:p>
      <w:r>
        <w:rPr>
          <w:b/>
        </w:rPr>
        <w:t>E. 5.2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dem Beschwerdeführer hätte Einsicht gewähren können. Allgemeine Länderinformationen, welche der internen Erkenntnisbildung dienen, sind gemäss ständiger Rechtspraxis nicht Bestandteil des Akteneinsichtsrechts und folglich auch nicht offenzulegen. In Bezug auf die UNHCR-Richtlinien vom 5. Juli 2010 ist im Übrigen festzustellen, dass diese öffentlich zugänglich sind - so auch im Internet -, weswegen diesbezüglich keine Verletzung des Akteneinsichtsrechts beziehungsweise der Begründungspflicht vorliegt. Daran ändert auch der Umstand nichts, dass in der angefochtenen Verfügung darauf verzichtet wurde, bezüglich dieses Dokuments die relevanten Passagen anzugeben. Aus den Akten geht nicht hervor, dass die Vorinstanz den angefochtenen Entscheid auf Erkenntnisse gestützt hätte, die sie von ihrer Dienstreise im Herbst 2010 gewonnen hat, weswegen sie auch nicht verpflichtet gewesen wäre, diesbezügliche Unterlagen in der Verfügung zu erwähnen beziehungsweise dem Beschwerdeführer hierzu Akteneinsicht zu gewähren. An dieser Einschätzung ändert auch der Umstand nichts, dass das Bundesverwaltungsgericht dem Beschwerdeführer mit Verfügung vom 10. Mai 2012 den BFM-Bericht vom 22. Dezember 2011 betreffend eine Dienstreise nach Sri Lanka zur Stellungnahme zustellte. Schliesslich ist davon auszugehen, dass das BFM dem Beschwerdeführer mit Schreiben vom 7. September 2011 alle entscheidwesentlichen Verfahrensakten im gesetzlich zulässigen Umfang ediert hat, nachdem im Beschwerdeverfahren keine anders lautende Rüge erhoben wurde. Insbesondere wurde keine Verletzung des Akteneinsichtsrechts bezüglich einzelner von der durch das BFM gewährten Einsicht ausgenommener Dokumente geltend gemacht. Insgesamt liegt somit keine Verletzung des Akteneinsichtsrechts beziehungsweise der Begründungspflicht vor, da das BFM nicht gehalten war, die verwendeten allgemein zugänglichen Länderinformationen im beantragten Ausmass detailliert offenzulegen. Der gestellte Antrag, das BFM sei anzuweisen, sämtliche Herkunftsländerinformationen, auf welche es seinen Entscheid stützte, mittels Quellenangaben offenzulegen, ist daher abzuweisen.</w:t>
      </w:r>
    </w:p>
    <w:p>
      <w:r>
        <w:rPr>
          <w:b/>
        </w:rPr>
        <w:t>E. 5.5</w:t>
      </w:r>
    </w:p>
    <w:p>
      <w:r>
        <w:t>Bezüglich der Rüge des Beschwerdeführers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6.3.2 nachstehend). Inwiefern das BFM mit seinem Vorgehen die Begründungspflicht verletzt haben soll, ist in Anbetracht der insgesamt ausgewogenen und differenzierten Erwägungen in der angefochtenen Verfügung ohnehin nicht ersichtlich.</w:t>
      </w:r>
    </w:p>
    <w:p>
      <w:r>
        <w:rPr>
          <w:b/>
        </w:rPr>
        <w:t>E. 5.6</w:t>
      </w:r>
    </w:p>
    <w:p>
      <w:r>
        <w:t>Bei dieser Sachlage besteht somit keine Veranlassung, die angefochtene Verfügung aus formellen Gründen aufzuheben, weshalb das Begehren des Beschwerdeführers, der Entscheid vom 29. August 2011 sei in den Dispositivpunkten 4 und 5 aufzuheben und zur Neubeurteilung der Sache an das BFM zurückzuweisen, abzuweisen ist.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An dieser Einschätzung ändert auch der eingereichte Polizeibericht vom 13. März 2009 nichts, zumal sich daraus keine heute noch bestehende Gefährdung des Beschwerdeführers ergibt. Die allgemeine Menschenrechtssituation in Sri Lanka lässt den Wegweisungsvollzug zum heutigen Zeitpunkt ebenfalls nicht als unzulässig erscheinen (vgl. BVGE 2011/24 E. 10.4.2). An dieser Beurteilung vermögen auch die diesbezüglichen Vorbringen des Beschwerdeführers in der Rechtsmittelschrift beziehungsweise in der Stellungnahme vom 23. Mai 2012 sowie die dort zitierten Berichte nichts zu ändern, weshalb es sich erübrigt, weiter darauf einzugehen.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 wurde der Wegweisungsvollzug hingegen als unzumutbar qualifiziert (vgl. BVGE 2008/2 E. 7.6.2 S. 21). Das Bundesverwaltungsgericht hat in BVGE 2011/24 angesichts der veränderten Lage nach dem Ende des sri-lankischen Bürgerkriegs im Mai 2009 und der militärisch vernichtenden Niederlage der LTTE eine aktualisierte, auch heute noch zutreffende Neubeurteilung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 insbesondere auch die Ostprovinz und die nicht zum Vanni-Gebiet gehörenden Gebiete der Nordprovinz - ist der Wegweisungsvollzug grundsätzlich zumutbar, zumal dort insbesondere keine Situation allgemeiner Gewalt festzustellen ist. Bei aus der Nordprovinz stammenden Personen ist dabei zu differenzieren. Für Personen, die dieses Gebiet erst nach Beendigung des Bürgerkrieges im Mai 2009 verlassen haben, ist die Rückkehr als grundsätzlich zumutbar zu bewerten, wenn davon ausgegangen werden kann, dass diese Personen auf die gleiche oder gleichwertige Lebens- und Wohnsituation zurückgreifen können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wohin der Vollzug als grundsätzlich zumutbar erachtet wird (vgl. BVGE a.a.O. E. 13.2.1.1 - 13.3).</w:t>
      </w:r>
    </w:p>
    <w:p>
      <w:r>
        <w:rPr>
          <w:b/>
        </w:rPr>
        <w:t>E. 6.3.3</w:t>
      </w:r>
    </w:p>
    <w:p>
      <w:r>
        <w:t>Der Beschwerdeführer stammt aus dem Norden Sri Lankas, aus E._______ im Distrikt Jaffna. Der Ort befindet sich ausserhalb des Vanni-Gebietes in der Nordprovinz, weshalb der Wegweisungsvollzug des Beschwerdeführers dorthin grundsätzlich zumutbar ist. Da sein dortiger Aufenthalt jedoch schon lange Zeit zurückliegt, müssen besondere begünstigende Faktoren vorliegen, um die Zumutbarkeit seines Wegweisungsvollzuges zu bejahen. Vorliegend erübrigt sich diese Prüfung indessen, da - wie nachfolgend dargelegt wird - die Zumutbarkeit einer innerstaatlichen Aufenthaltsalternative in Colombo bejaht werden kann.</w:t>
      </w:r>
    </w:p>
    <w:p>
      <w:r>
        <w:rPr>
          <w:b/>
        </w:rPr>
        <w:t>E. 6.3.4</w:t>
      </w:r>
    </w:p>
    <w:p>
      <w:r>
        <w:t>Für die Beurteilung einer Aufenthaltsalternative im Grossraum Colombo gelten weiterhin die in BVGE 2008/2 festgelegten Kriterien (vgl. BVGE a.a.O. E. 7.6.1 f.). Anlässlich der Anhörung machte der Beschwerdeführer geltend, er habe von November 2008 bis zu seiner Ausreise aus Sri Lanka Ende Februar 2009 in Colombo bei einem Freund seines Vaters gewohnt (BFM-Akten A 18/13 S. 4, 11). In seinem eigenhändig unterschriebenen Visumantrag vom 14. Mai 2007 hatte der Beschwerdeführer vorgebracht, er arbeite gegenwärtig als Manager bei F._______ in Colombo. Aus dem dem Visumantrag beigelegten Bestätigungsschreiben der in Colombo domizilierten Firma F._______ vom 8. Mai 2007 geht zudem hervor, dass der Beschwerdeführer die letzten drei Jahre als Manager bei der Firma gearbeitet habe (vgl. dazu A 18/13 F27). Aufgrund dieser widersprüchlichen Angaben ist zweifelhaft, ob sich der Beschwerdeführer tatsächlich - wie behauptet - vor seiner Ausreise aus Sri Lanka lediglich drei Monate in Colombo aufgehalten hat. Es ist aufgrund der Unterlagen eher wahrscheinlich, dass er vor seiner Ausreise aus Sri Lanka viel länger dort gelebt hat. Angesichts dieser Ungereimtheiten bezüglich seines Aufenthalts sowie seiner unglaubhaften Verfolgungsvorbringen ist zudem seine Behauptung, er habe sich in Colombo versteckt gehalten und er sei dort vor seiner Ausreise nicht registriert gewesen, nicht glaubhaft. Dies insbesondere auch deshalb, da er bei der Anhörung bezüglich der Registrierung in Colombo unplausible Aussagen machte. So führte er aus, er sei am Anfang in Colombo registriert gewesen, als er den Visumantrag für die Schweiz gestellt habe (A 18/13 F99 f.); zu diesem Zeitpunkt (Mai 2007) will er jedoch gar nicht in Colombo gewohnt haben (A 18/13 F20), weshalb es für ihn keinen Grund gegeben hätte, sich dort registrieren zu lassen. Abgesehen davon erscheint es aufgrund der dazumal bestehenden strengen Kontrollen durch die sri-lankischen Behörden unwahrscheinlich, dass es dem Beschwerdeführer tamilischer Ethnie vor seiner Ausreise gelungen sein soll, sich während dreier Monate ohne Registrierung in Colombo aufzuhalten. Nach dem Gesagten ist daher davon auszugehen, dass der Beschwerdeführer vor seiner Ausreise aus Sri Lanka in Colombo offiziell registriert war und sich demnach dort legal aufhielt, weshalb er auch dorthin zurückkehren kann. Der Beschwerdeführer hat gemäss eigenen Angaben vor seiner Ausreise bei einem Freund seines Vaters gewohnt. Es liegen keine aktuelleren Erkenntnisse vor, die zur Annahme führen könnten, dass sich dieser Freund heute nicht mehr in Colombo aufhalten würde. Er wird den jungen und - gemäss den Akten - gesunden Beschwerdeführer zumindest vorübergehend aufnehmen und allenfalls bei der Arbeitssuche unterstützen können. Der Beschwerdeführer verfügt zudem über eine gute Schulbildung sowie jahrelange Berufserfahrung als (...), weshalb er in der Lage sein wird, sich in der Heimat wirtschaftlich zu reintegrieren. Bei der Integration wird er im Bedarfsfall auf die (finanzielle) Unterstützung seiner nahen Verwandten zählen können, die in Grossbritannien, Kanada und in der Schweiz leben. Insbesondere ist davon auszugehen, dass er bei Bedarf von seinen in Grossbritannien wohnhaften Eltern sowie seiner dort lebenden Schwester unterstützt wird. Die Rückkehrhilfe der Schweiz wird dem Beschwerdeführer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Entgegen den (sinngemässen) Vorbringen des Beschwerdeführers in der Rechtsmittelschrift sowie der Stellungnahme vom 23. Mai 2012 ist somit nicht anzunehmen, dass er bei einer Rückkehr in seinen Heimatstaat in eine existenzielle Notlage geraten wird. Der Vollzug der Wegweisung erweist sich damit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9. September 2011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