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D-5293/2010 vom 12. Juli 2011</w:t>
      </w:r>
    </w:p>
    <w:p>
      <w:r>
        <w:t>Bundesverwaltungsgericht, 2011-07-12, DE</w:t>
      </w:r>
    </w:p>
    <w:p>
      <w:r>
        <w:rPr>
          <w:b/>
        </w:rPr>
        <w:t xml:space="preserve">Quelle: </w:t>
      </w:r>
      <w:r>
        <w:t>https://mcp.opencaselaw.ch/entscheid/bvger_D-5293_2010</w:t>
      </w:r>
    </w:p>
    <w:p>
      <w:r>
        <w:t>FR: TAF D-5293/2010 du 12 juillet 2011</w:t>
      </w:r>
    </w:p>
    <w:p>
      <w:r>
        <w:t>IT: TAF D-5293/2010 del 12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eingewendet, der Beschwerdeführer sei wegen seiner ethnischen Herkunft, eigener politischer Aktivitäten und solcher seines nahen Umfelds (Vater, F._______) ins Visier sowohl der rechtsradikalen Szene als auch der Polizei geraten. Infolgedessen sei er mehrmals festgenommen und geschlagen worden, wobei er im Zusammenhang mit einem Angriff sogar einen (...) erlitten habe. Jeder Vorfall stelle ein Puzzleteil des Ganzen dar und stehe in einem engen Kausalzusammenhang. Vor diesem Hintergrund würden die vorinstanzlichen Erwägungen betreffend die Bestrafung wegen Desertion nicht zutreffen beziehungsweise sei diese asylrechtlich relevant. Dasselbe gelte in Bezug auf die geltend gemachte Verfolgung durch die G._______, zumal die türkische Polizei entgegen den vorinstanzlichen Erwägungen nicht schutzwillig sei. Schliesslich hätten aufgrund der Tatsache, dass der türkische Staat es mit der Lösung der Kurdenfrage nicht ernst gemeint habe, die kriegerischen Auseinandersetzungen zwischen den türkischen Armeeeinheiten und den E._______-Kämpfern in den letzten Monaten wieder zugenommen. Unter diesen Umständen sei davon auszugehen, dass sich die Befürchtungen des Beschwerdeführers, bei einer Rückkehr in den Heimatstaat weiterer staatlicher und nichtstaatlicher Verfolgung ausgesetzt zu sein, mit an Sicherheit grenzender Wahrscheinlichkeit verwirklichen würden. Mithin vermöchten die übereinstimmenden Vorbringen des Beschwerdeführers sowohl den Anforderungen an die Glaubhaftigkeit als auch an die Flüchtlingseigenschaft zu genügen.</w:t>
      </w:r>
    </w:p>
    <w:p>
      <w:r>
        <w:rPr>
          <w:b/>
        </w:rPr>
        <w:t>E. 4.2</w:t>
      </w:r>
    </w:p>
    <w:p>
      <w:r>
        <w:t>Eine Überprüfung der Akten ergibt, dass sich die vorinstanzlichen Erwägungen, wonach die Darlegungen des Beschwerdeführers asylrechtlich nicht relevant seien, als zutreffend erweisen (vgl. dazu Sachverhalt Bst. B). Die Ausführun­gen in der Beschwerde sind nicht geeignet, daran etwas zu ändern. Dass kein Kausalzusammenhang zwischen den einzelnen Verfolgungsvorbringen besteht, ergibt sich bereits daraus, dass der Beschwerdeführer trotz dieser - eigenen Angaben zufolge - bis (...) Wochen vor der Ausreise einen J._______ führte und Jetons für die öffentlichen Verkehrsmittel verkaufte. Das in Kopie eingereichte (...) betreffend den Vater des Beschwerdeführers datiert vom (...). Der Vater hält sich seit dem Ende der Verbüssung der (...) Freiheitsstrafe im Jahr (...) weiterhin in D._______ auf. Die gemäss den eher unsubstanziierten Schilderungen des Beschwerdeführers aus diesem Grund erfolgten Behelligungen der Familie hörten in den Jahren (...) auf. Die geltend gemachten Behelligungen im Zusammenhang mit dem F._______, welchem in K._______ Asyl gewährt wurde, erfolgten letztmals im Jahr (...), wobei dessen Asylgesuch von (...) datiert. Mithin wurde diesbezüglich der gemäss Praxis der Asylbehörden in zeitlicher und sachlicher Hinsicht erforderliche genügend enge Kausalzusammenhang zwischen den (...) beziehungsweise (...) Jahren vor der Ausreise erfolgten Behelligungen und der Flucht aus der Türkei durch das BFM zu Recht verneint. Was die Verurteilung des Beschwerdeführers wegen Desertion zu einer (...) Gefängnisstrafe anbelangt, welche er im Jahr (...) verbüsst habe, wobei er stark unterdrückt und gefoltert worden sei, wurde durch die Vorinstanz zutreffend erwogen, dass die Asylgewährung nicht dem Ausgleich vergangener Benachteiligungen diene, wenn keine Hinweise auf eine noch dauernde oder zukünftige Verfolgung bestehe. Diesbezüglich wurde eine Furcht des Beschwerdeführers vor künftiger asylrechtlich relevanter Verfolgung durch das BFM zu Recht verneint mit der Begründung, eigenen Angaben zufolge sei der Beschwerdeführer am (...) aus dem Militärdienst entlassen worden und habe seither keine Probleme mit den Militärbehörden gehabt. Was die im Jahr (...) beziehungsweise (...) wegen illegalen Waffenbesitzes erfolgte eintägige Festnahme anbelangt, auf welche ein zum heutigen Zeitpunkt noch hängiges Gerichtsverfahren folgte, wird in der Beschwerde zu Recht nicht bestritten, dass es sich dabei offensichtlich um rechtsstaatlich legitimen Zwecken dienende behördliche Massnahmen handelt, welche mithin asylrechtlich nicht relevant sind. Schliesslich führte die Vorinstanz zu Recht aus, die Aussagen des Beschwerdeführers zu den geltend gemachten Übergriffen durch Rassisten seien unsubstanziiert beziehungsweise in Bezug auf den Zeitpunkt und das Motiv widersprüchlich ausgefallen, weshalb diese Vorbringen grundsätzlich anzuzweifeln seien. So hat er eigenen Angaben zufolge beispielsweise den (...) im Jahr (...) erlitten, wobei es sich um den letzten Vorfall mit den Rassisten gehandelt hat; demgegenüber trug sich dieser Vorfall im (...) zu; in Widerspruch dazu hätten ihn die Rassisten letztmals im (...) angegriffen. Ungeachtet dessen wäre es dem Beschwerdeführer, welcher nach den rassistisch motivierten Vorfällen selbst untätig blieb entgegen der von ihm behaupteten Passivität der Polizei zuzumuten gewesen, sich mit mehr Nachdruck um staatlichen Schutz zu bemühen. Unter diesen Umständen ist der diesbezügliche Einwand in der Beschwerde, die türkische Polizei sei nicht schutzwillig, weil Oppositionelle generell als Feinde des türkischen Staates angesehen und deshalb oft von der Polizei nicht geschützt würden, als unbehelflich zu qualifizieren</w:t>
      </w:r>
    </w:p>
    <w:p>
      <w:r>
        <w:rPr>
          <w:b/>
        </w:rPr>
        <w:t>E. 4.3</w:t>
      </w:r>
    </w:p>
    <w:p>
      <w:r>
        <w:t>Nach dem Gesagten erweisen sich die vom Beschwerdeführer geltend gemachten Verfolgungsvorbringen als asyl- respektive flüchtlingsrechtlich nicht relevant. Auf­grund der vorstehenden Erwägungen erübrigt es sich, auf die weiteren Aus­führungen in der Beschwerde und die Beweismit­tel einzugehen, weil sie am Ergebnis nichts ändern. Das BFM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6.2.3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seinem Heimatstaat lässt den Wegweisungsvollzug zum heutigen Zeitpunkt klarerweise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würden. Sodann bestehen auch keine anderen Hinweise, dass der noch junge Be­schwerdeführer, welcher, soweit aktenkundig, an keinen schwerwiegenden gesundheitlichen Beeinträchtigungen leidet, bei einer Rückkehr in den Heimatstaat in eine kon­kre­te, seine Existenz bedrohende Situation geraten könnte. Seine (...). und (...) sind weiterhin in D._______ wohnhaft. Dort verfügt er über ein fa­mi­li­ä­res Bezie­hungsnetz. Zwar hat er die Schule nach (...) Jahren Primar- und (...) Mittelschule abgebrochen und keinen Berufsabschluss erworben. Trotzdem führte er in der Folge während eineinhalb Jahren den J._______. Nebst seiner kurdischen Muttersprache spricht er auch türkisch. Angesichts der gesamten Umstände kann der Vollzug der Wegweisung - entgegen der in der Rechtsmitteleingabe vertrete­nen Auffassung - auch als zumutbar bezeichnet werden.</w:t>
      </w:r>
    </w:p>
    <w:p>
      <w:r>
        <w:rPr>
          <w:b/>
        </w:rPr>
        <w:t>E. 6.4</w:t>
      </w:r>
    </w:p>
    <w:p>
      <w:r>
        <w:t>Schliesslich obliegt es dem Beschwerdeführer, sich bei der zu­ständi­gen Vertretung seines Heimatstaates die für eine Rückkehr not­wen­di­gen Reisedokumente zu beschaffen (Art. 8 Abs. 4 AsylG; BVGE 2008/34 E. 12 S. 513 ff.), wes­halb der Vollzug der Wegweisung auch als möglich zu bezeichnen ist (Art. 83 Abs. 2 AuG).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sind die Kosten auf Fr. 600.- fest­zu­setzen (vgl. Art. 1 - 3 des Reglements vom 21. Februar 2008 über die Kos­ten und Ent­schädigungen vor dem Bundesverwaltungsge­richt [VGKE, SR 173.320.2]) und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