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D-5283/2017 vom 6. August 2018</w:t>
      </w:r>
    </w:p>
    <w:p>
      <w:r>
        <w:t>Bundesverwaltungsgericht, 2018-08-06, DE</w:t>
      </w:r>
    </w:p>
    <w:p>
      <w:r>
        <w:rPr>
          <w:b/>
        </w:rPr>
        <w:t xml:space="preserve">Quelle: </w:t>
      </w:r>
      <w:r>
        <w:t>https://mcp.opencaselaw.ch/entscheid/bvger_D-5283_2017</w:t>
      </w:r>
    </w:p>
    <w:p>
      <w:r>
        <w:t>FR: TAF D-5283/2017 du 6 août 2018</w:t>
      </w:r>
    </w:p>
    <w:p>
      <w:r>
        <w:t>IT: TAF D-5283/2017 del 6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 Personen, die subjektive Nachfluchtgründe nachweisen oder zumindest glaubhaft machen können, werden hingegen als Flüchtlinge vorläufig aufgenommen (vgl. BVGE 2009/28 E. 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4.1</w:t>
      </w:r>
    </w:p>
    <w:p>
      <w:r>
        <w:t>Der in Art. 12 VwVG statuierte Untersuchungsgrundsatz, wonach die Behörde den Sachverhalt von Amtes wegen feststellt, findet seine Grenze an der Mitwirkungspflicht der asylsuchenden Person (Art. 8 AsylG). Dazu gehört die Pflicht zur Offenlegung der Identität und Beibringung eines Identitätsnachweises.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 Person ihre Staatsangehörigkeit nicht offen legt; beziehungsweise durch die Verheimlichung und Verschleierung der wahren Herkunft wird auch die Prüfung der Flüchtlingseigenschaft der betreffenden Person in Bezug auf ihr effektives Heimatland verunmöglicht (vgl. BVGE 2014/12 E. 5.9 und 6; Entscheidungen und Mitteilungen der [vormaligen] Schweizerischen Asylrekurskommission [EMARK] 2005 Nr. 8 E. 3.1).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EMARK 2004 Nr. 30 E. 5; ferner auch das Urteil des BVGer D-6884/2015 vom 22. März 2017 E. 8.1).</w:t>
      </w:r>
    </w:p>
    <w:p>
      <w:r>
        <w:rPr>
          <w:b/>
        </w:rPr>
        <w:t>E. 4.2</w:t>
      </w:r>
    </w:p>
    <w:p>
      <w:r>
        <w:t>Bezüglich Personen tibetischer Ethnie präzisierte das Bundesverwaltungsgericht in BVGE 2014/12 die Praxis gemäss EMARK 2005 Nr. 1 dahingehend, dass bei Personen tibetischer Ethnie, die ihre wahre Identität verschleiern oder verheimlichen, vermutungsweise davon auszugehen ist, dass keine flüchtlings- oder wegweisungsbeachtlichen Gründe gegen eine Rückkehr an ihren bisherigen Aufenthaltsort bestehen. Verunmöglicht ein tibetischer Asylsuchender durch die Verletzung der Mitwirkungspflicht die Abklärung, welchen effektiven Status er (etwa)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BVGE 2014/12 E. 5.9 f.).</w:t>
      </w:r>
    </w:p>
    <w:p>
      <w:r>
        <w:rPr>
          <w:b/>
        </w:rPr>
        <w:t>E. 5.1</w:t>
      </w:r>
    </w:p>
    <w:p>
      <w:r>
        <w:t>Wie in E. 4 dargelegt, kommt der Frage der Verlässlichkeit der Herkunftsangaben der asylsuchenden Person wesentliche Bedeutung zu. Vorliegend sind die vorinstanzlichen Schlussfolgerungen in der angefochtenen Verfügung weder in tatsächlicher noch in rechtlicher Hinsicht zu beanstanden. Das SEM zieht nicht in Zweifel, dass der Beschwerdeführer tibetischer Ethnie ist, folgerte aber zu Recht, dass Grund zur Annahme besteht, dass er seine wahre Identität zu verschleiern versucht. Seine Staatsangehörigkeit ist unbekannt. Allein die Tatsache, dass er Tibetisch spricht, stellt keinen hinreichenden Beweis für eine chinesische Staatsbürgerschaft dar. Der Beschwerdeführer, der von der Vorinstanz explizit auf seine Mitwirkungspflicht gemäss Art. 8 AsylG hingewiesen wurde, hat weder Reise- oder Identitätspapiere noch irgendwelche Beweismittel, die geeignet wären, etwas zur Klärung seiner Identität beizutragen, eingereicht. Die fehlende Beibringung eines Identitätsnachweises stellt eine Verletzung der ihm obliegenden Mitwirkungspflicht gemäss Art. 8 AsylG dar. In diesem Zusammenhang ist auch darauf hinzuweisen, dass die Behörde lediglich den Nachweis zu erbringen hat, dass eine asylsuchende Person über ihre Identität getäuscht hat (vgl. BVGE 2013/10 E. 9.1). Diesen Nachweis hat das SEM vorliegend mittels der eingeholten Botschaftsabklärung erbracht. Die Abklärungen vor Ort in Nepal haben keinen Hinweis auf einen effektiven dortigen Aufenthalt des Beschwerdeführers und seinen Status ergeben. Vielmehr hat sich gezeigt, dass die Angaben des Beschwerdeführers zu seinem Lebenslauf nicht zutreffen. Selbst wenn die (...) im (...) in G._______ zwischenzeitlich den Betrieb eingestellt haben sollte, wäre anzunehmen, dass diese dort namentlich bekannt wäre, habe der Beschwerdeführer doch über 25 Jahre bei dieser gearbeitet. Auch steht seine Angabe in der Stellungnahme zum Botschaftsbericht vom 25. April 2016, er und seine Kinder hätten zu den Nachbarn in ihrem Wohnviertel keinen Kontakt gepflegt und deshalb auf den Fotos auch nicht erkannt werden können, im Widerspruch zu den Aussagen seiner Kinder, wonach durchaus ein nachbarschaftlicher Kontakt bestanden habe, seien sie doch von den Nachbarn nach den Erdbeben tatkräftig unterstützt worden. Im Übrigen erwiesen sich auch die Angaben der Kinder zu den von ihnen besuchten Schulen als unzutreffend. Damit stehen weder die Personalien des Beschwerdeführers noch seine Staatsangehörigkeit und sein Lebenslauf fest.</w:t>
      </w:r>
    </w:p>
    <w:p>
      <w:r>
        <w:rPr>
          <w:b/>
        </w:rPr>
        <w:t>E. 5.2</w:t>
      </w:r>
    </w:p>
    <w:p>
      <w:r>
        <w:t>Durch die Verheimlichung respektive Verschleierung der wahren Herkunft verunmöglicht der Beschwerdeführer den Behörden nähere Abklärungen hinsichtlich einer allfälligen Verfolgungssituation in seinem tatsächlichen Heimatstaat und dem effektiven Status in einem etwaigen andern Staat. Unter Verweis auf BVGE 2014/12, wonach bei Personen tibetischer Ethnie, die ihre wahre Herkunft verschleiern oder verheimlichen, vermutungsweise davon auszugehen ist, dass keine flüchtlings- oder wegweisungsrechtlichen Gründe gegen eine Rückkehr an den bisherigen Aufenthaltsort bestehen, erübrigen sich Erörterungen bezüglich des Vorliegens subjektiver Nachfluchtgründe. Nur der Vollständigkeit halber ist anzumerken, dass die vom Beschwerdeführer geltend gemachten Nachteile im Wohnsitzstaat Nepal, wonach er sich dort illegal aufgehalten habe und seine dortige Existenzgrundlage durch die Erdbeben im April 2015 zerstört worden sei, so schwierig die Situation nach den Erdbeben gewesen sein mag, die Flüchtlingseigenschaft gemäss Art. 3 AsylG nicht zu begründen vermögen.</w:t>
      </w:r>
    </w:p>
    <w:p>
      <w:r>
        <w:rPr>
          <w:b/>
        </w:rPr>
        <w:t>E. 5.3</w:t>
      </w:r>
    </w:p>
    <w:p>
      <w:r>
        <w:t>Aufgrund des Gesagten hat das SEM die Flüchtlingseigenschaft des Beschwerdeführers gemäss Art. 3 AsylG zu Recht verneint und das Asylgesuch zutreffend abgelehnt. Es erübrigt sich, auf die weiteren Vorbringen in den Rechtsmitteleingaben näher einzugehen, da diese am vorliegenden Ergebnis nichts zu ändern vermögen.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Zulässigkeit, Zumutbarkeit und Möglichkeit des Wegweisungsvollzugs sind zwar von Amtes wegen zu prüfen, aber die Untersuchungspflicht findet, wie bereits ausgeführt (vgl. E. 4), ihre Grenzen an der Mitwirkungspflicht des Asylsuchenden. Der Beschwerdeführer hat keine rechtsgenüglichen Identitätspapiere eingereicht und seine Identität und Staatsangehörigkeit sowie seine persönlichen Verhältnisse stehen - wie vorstehend ausgeführt - bis heute nicht fest. Durch die Verletzung seiner Mitwirkungspflicht respektive die Verheimlichung seiner wahren Identität verunmöglicht er die Prüfung, welche Staatsangehörigkeit er besitzt, und welchen Status er an seinem bisherigen Aufenthaltsort hatte. In Berücksichtigung der in E. 4 zitierten Rechtsprechung betreffend Personen tibetischer Ethnie, die - wie der Beschwerdeführer - ihre wahre Identität verschleiern oder verheimlichen, ist vermutungsweise davon auszugehen, dass keine flüchtlingsrechtlich- oder wegweisungsrechtlichen Gründe gegen eine Rückkehr des Beschwerdeführers an den bisherigen Aufenthaltsort sprechen (vgl. BVGE 2014/12 E. 5.9 f.). Der Vollzug der Wegweisung ist daher vorliegend als zulässig, zumutbar und möglich zu erachten. Präzisierend bleibt anzuführen, dass zur Vermeidung einer drohenden Refoulement-Verletzung der Wegweisungsvollzug nach China - in Übereinstimmung mit Dispositivziffer 5 der angefochtenen Verfügung - auszuschliessen ist, da die Möglichkeit nicht ausgeschlossen werden kann, dass der Beschwerdeführer, der unbestrittenermassen tibetischer Ethnie ist, die chinesische Staatsangehörigkeit besitzt (vgl. BVGE 2009/29).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dem Beschwerdeführer aufzuerlegen (Art. 63 Abs. 1 VwVG). Da ihm jedoch am 25. September 2017 die unentgeltliche Prozessführung gemäss Art. 65 Abs. 1 VwVG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