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D-5280/2025 vom 25. März 2026</w:t>
      </w:r>
    </w:p>
    <w:p>
      <w:r>
        <w:t>Bundesverwaltungsgericht, 2026-03-25, DE</w:t>
      </w:r>
    </w:p>
    <w:p>
      <w:r>
        <w:rPr>
          <w:b/>
        </w:rPr>
        <w:t xml:space="preserve">Quelle: </w:t>
      </w:r>
      <w:r>
        <w:t>https://mcp.opencaselaw.ch/entscheid/bvger_D-5280_2025</w:t>
      </w:r>
    </w:p>
    <w:p>
      <w:r>
        <w:t>FR: TAF D-5280/2025 du 25 mars 2026</w:t>
      </w:r>
    </w:p>
    <w:p>
      <w:r>
        <w:t>IT: TAF D-5280/2025 del 25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nach fristgerechter Leistung des Kostenvorschusses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stellt in seinem Entscheid zur Frage der Flüchtlingseigenschaft und Asylgewährung fest, die Vorbringen des Beschwerdeführers hielten den Anforderungen an die Flüchtlingseigenschaft gemäss Art. 3 AsylG nicht stand. Zur Begründung führt es hinsichtlich der erlebten Festhaltung im Wesentlichen aus, dass aufgrund der Aktenlage keine ausreichenden Anhaltspunkte bestünden, dass ihm bei einer Rückkehr in die Türkei in absehbarer Zukunft und mit hinreichender Wahrscheinlichkeit flüchtlingsrechtlich relevante Nachteile drohen würden. Er sei nach einer Nacht ohne Weiterungen freigelassen worden, verfüge über kein politisch exponiertes Profil und die behördlichen Besuche in seinem Heimatdorf seien ohne alleinigen Bezug zu ihm erfolgt. Gegen eine Verfolgungsgefahr spreche auch die Tatsache, dass er mit einem kurz vor Ausreise ausgestellten Reisepass legal ausgereist sei. Die vom Beschwerdeführer erlittenen Drohungen und Schläge durch seinen Onkel nach offenbarter Homosexualität stellten auch in der Türkei strafbare Delikte dar. Die subjektiven Befürchtungen des Beschwerdeführers würden objektiv betrachtet nicht zu rechtfertigen vermögen, dass er sich in dieser Angelegenheit nicht an die Behörden gewandt habe. Abgesehen von seiner Furcht würden keine konkreten Hinweise betreffend Untätigkeit der türkischen Justizbehörden vorliegen, wenn es sich tatsächlich um eine ernsthafte Bedrohungslage gehandelt hätte. Das Bundesverwaltungsgericht gehe in ständiger Rechtsprechung von der grundsätzlichen Schutzfähigkeit und dem Schutzwillen der türkischen Behörden betreffend Personen der LGBTQI+-Gemeinschaft aus. Aus den Akten ergebe sich, dass der Beschwerdeführer nicht jede erdenkliche Schutzmassnahme in der Heimat zu ergreifen versucht habe, bevor er ausgereist sei. Dies hätte jedoch von ihm erwartet werden können. Schliesslich führe die allgemeine Situation, in welcher sich die kurdische Bevölkerung befinde, gemäss gefestigter Praxis für sich allein nicht zur Anerkennung der Flüchtlingseigenschaft. Die vom Beschwerdeführer geltend gemachten Nachteile (Auseinandersetzungen in der Schulzeit sowie regelmässige Nachfragen oder Belästigungen durch die Gendarmerie) gingen in ihrer Intensität nicht über die Nachteile hinaus, welche weite Teile der kurdischen Bevölkerung in der Türkei in ähnlicher Weise treffen könnten. Gleiches gelte für die vom Beschwerdeführer befürchteten Schikanen im bevorstehenden Militärdienst. Auch wenn solche für kurdische Dienstpflichtige durch türkische Kameraden und Vorgesetzte nicht auszuschliessen seien, würden keine Hinweise auf systematische Benachteiligungen in flüchtlingsrechtlich relevantem Ausmass von Kurden im türkischen Militär vorliegen.</w:t>
      </w:r>
    </w:p>
    <w:p>
      <w:r>
        <w:rPr>
          <w:b/>
        </w:rPr>
        <w:t>E. 5.2</w:t>
      </w:r>
    </w:p>
    <w:p>
      <w:r>
        <w:t>Der Beschwerdeführer entgegnet in der Beschwerde, dass Polizisten nach dem Ereignis vom (...) ständig ins Dorf gekommen seien und nach regimekritischen Personen gesucht hätten. Auch bei ihm zuhause seien sie vorbeikommen und hätten ihn gewarnt. Zudem sei er über andere Personen im Dorf ausgefragt worden. Vor seiner Verhaftung am (...) hätten ihm die Polizisten nie solche Fragen gestellt. Weil er sich dann im alten Haus versteckt habe, sei er nicht noch öfter behelligt worden. Da er keine Fragen beantwortet und keine Namen genannt habe, wäre er früher oder später erneut verhaftet worden. Er habe betreffend die Probleme mit seinem Onkel nicht bei denjenigen Behörden Schutz suchen können, die ihn Monate zuvor als Demonstranten mitgenommen, geschlagen und verhört hätten. Einer solchen Behörde könne nicht getraut werden, auch nicht betreffend Schutz bezüglich seiner sexuellen Orientierung. Zwar sei Homosexualität in der Türkei in der Theorie legal sei, trotzdem habe keine homosexuelle Person in der Türkei ein menschenwürdiges Leben. Der Präsident sowie einflussreiche Politiker würden sich negativ über Homosexualität äussern und die Türkei gehöre betreffend Rechte und Freiheiten von LGBTQ-Personen zu den rückständigsten Ländern. Die Vorinstanz verkenne, dass die türkischen Behörden untätig bleiben würden, wenn er sich betreffend die Angelegenheit mit seinem Onkel an diese wenden würde. Dem Druck seines Onkels und seiner Familie könne er sich nicht durch einen innerstaatlichen Umzug entziehen. Der Ruf der Familie sei in der Türkei das Wichtigste, weshalb seine Familie landesweit alles unternehmen würde, um ihn vom Ausleben seiner Homosexualität abzubringen. Als homosexueller, kurdischer Alevite gehöre er zu einer Minderheit, welche täglich Diskriminierungen ausgesetzt sei. Es stimme, dass seine Ängste bezüglich Militärdiensts momentan nur Befürchtungen seien. Es sei jedoch durch zahlreiche Quellen belegt, dass Kurden im türkischen Militär systematischen Benachteiligungen ausgesetzt seien. Dass er aufgrund seiner Homosexualität und seines alevitischen Glaubens im Militärdienst noch stärker diskriminiert werden würde, liege auf der Hand.</w:t>
      </w:r>
    </w:p>
    <w:p>
      <w:r>
        <w:rPr>
          <w:b/>
        </w:rPr>
        <w:t>E. 6.1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die Flüchtlingseigenschaft zu verneinen und das Asylgesuch abzuweisen sei. Auf die Argumente der Vorinstanz kann - mit den nachfolgenden Ergänzungen - verwiesen werden. Wie sogleich zu zeigen sein wird, vermögen die Einwände in der Beschwerdeschrift zu keiner anderen Einschätzung zu führen.</w:t>
      </w:r>
    </w:p>
    <w:p>
      <w:r>
        <w:rPr>
          <w:b/>
        </w:rPr>
        <w:t>E. 6.2.1</w:t>
      </w:r>
    </w:p>
    <w:p>
      <w:r>
        <w:t>Soweit der Beschwerdeführer auf Beschwerdeebene einwendet, er sei auch nach dem Ereignis vom (...) von den Behörden aufgesucht worden und verfüge über ein politisches Profil, ist ihm entgegenzuhalten, dass eine einmalige Demonstrationsteilnahme bezüglich Unterstützungsforderungen aufgrund des Erdbebens und der Forderung nach einer eigenständigen Provinz C._______ nicht zu einer relevanten Exponierung führt. Den Akten sind zudem keine Hinweise zu entnehmen, die Anlass zur Annahme einer begründeten Furcht vor mit grosser Wahrscheinlichkeit in absehbarer Zukunft eintretender Verfolgungsmassnahmen im Sinne des Asylgesetzes geben, zumal der Beschwerdeführer weder anlässlich der beiden Anhörungen noch auf Beschwerdeebene substantiiert, welcher Gestalt sein (exponiertes) politisches Profil sein soll. Vielmehr wiederholte er im vorinstanzlichen Verfahren den Ereignisablauf vom (...) und verweist in der Beschwerde darauf, dass er wohl öfters aufgesucht worden wäre, wenn er sich nicht versteckt hätte. Das Versteckthalten relativierte er anlässlich der Anhörungen indessen selber, indem er angab, er habe zunächst noch vier oder fünf Monate bei der Familie gelebt, sei (weiterhin) zum Essen nach Hause gegangen und das Haus, mithin das Versteck) habe sich nicht weit vom Elternhaus entfernt befunden (vgl. SEM-Akten act. (...)-17 F28 und act. (...)-31 F49, F52, F80). Weiter wies er darauf hin, dass er an der Veranstaltung vom 28. Februar 2023 nicht als Parteivertreter oder -sympathisant sondern als normaler Bürger teilgenommen habe (vgl. SEM-Akten (...)-31 F57, F65). Inwiefern er den Behörden als Informant betreffend Auffinden der Demonstrationsorganisatoren oder anderen politisch aktiven Personen hilfreich hätte sein können, erschliesst sich dem Gericht aufgrund der Akten nicht. Der Beschwerdeführer macht denn auch selber nicht geltend, dass gegen ihn irgendwelche formelle behördliche Massnahmen ergriffen worden wären.</w:t>
      </w:r>
    </w:p>
    <w:p>
      <w:r>
        <w:rPr>
          <w:b/>
        </w:rPr>
        <w:t>E. 6.2.2</w:t>
      </w:r>
    </w:p>
    <w:p>
      <w:r>
        <w:t>Der Beschwerdeführer moniert weiter die fehlende Schutzwilligkeit der türkischen Behörden in Bezug auf homosexuelle Personen. Das Bundesverwaltungsgericht hat sich in den letzten Jahren wiederholt mit der Schutzfähigkeit und dem Schutzwillen der türkischen Behörden betreffend Personen, die der LGBTQI+-Gemeinschaft angehören, auseinandergesetzt. Dabei geht es davon aus, dass die türkischen Behörden hinsichtlich bi- oder homosexueller Personen schutzfähig und schutzwillig sind (vgl. bspw. Urteil des BVGer D-364/2025 vom 4. März 2025 E. 6.2 m.w.H.). Gemäss konstanter schweizerischer Rechtspraxis ist folglich Homosexualität - für sich genommen - im Länderkontext Türkei für die Begründung der Flüchtlingseigenschaft nicht hinreichend. An dieser Einschätzung vermag weder der Hinweis des Beschwerdeführers auf negative Äusserungen hochrangiger Politiker betreffend Homosexualität noch der generelle Hinweis auf die - aus Sicht des Beschwerdeführers - unzureichende Gesetzeslage für Personen der LGBTQI+-Gemeinschaft etwas zu ändern. Vielmehr wird sich der Beschwerdeführer, sollte er aufgrund seiner Homosexualität Nachteile von dritter Seite - wie beispielsweise seinem Onkel - befürchten, die türkischen Behörden um Schutz zu ersuchen haben. In diesem Zusammenhang und hinsichtlich seines Einwandes, es sei ihm nicht zuzumuten, bei derjenigen Polizeibehörde um Schutz zu ersuche, welche in festgehalten habe, ist der Beschwerdeführer auf die Inanspruchnahme einer innerstaatlichen Fluchtalternative hinzuweisen, da der flüchtlingsrechtliche Schutz lediglich subsidiär zur Anwendung gelangt. Für seine Behauptung, sein Onkel oder seine Familie würde ihn in der ganzen Türkei finden können, fehlen objektive Anhaltspunkte. Das Bundesverwaltungsgericht stellt nicht in Abrede, dass das Leben einer homosexuellen Person in der Türkei schwierig sein kann. Gleichwohl ist festzuhalten, dass der Beschwerdeführer selbst anerkennt, dass seine Befürchtungen betreffend allfällige Diskriminierungen im Militärdienst aufgrund seiner Homosexualität hypothetischer Natur sind, weshalb er aus diesem Einwand nichts zu seinen Gunsten abzuleiten vermag. Im Übrigen besteht für den Beschwerdeführer in der Türkei die Möglichkeit, sich aufgrund seiner sexuellen Orientierung vom Militärdienst dispensieren zu lassen (vgl. Urteil des BVGer E-6454/2025 vom 19. November 2025 E. 6.1.3). Was die allgemeine Militärdienstpflicht in der Türkei anbelangt, kann auf die entsprechende Rechtsprechung des Bundesverwaltungsgerichts verwiesen werden (vgl. statt vieler etwa Urteile des BVGer D-1890/2024 vom 11. Februar 2026 E. 7.6 und D-2992/2025 vom 12. Dezember 2025 E. 7.3).</w:t>
      </w:r>
    </w:p>
    <w:p>
      <w:r>
        <w:rPr>
          <w:b/>
        </w:rPr>
        <w:t>E. 6.2.3</w:t>
      </w:r>
    </w:p>
    <w:p>
      <w:r>
        <w:t>Der Vollständigkeit halber ist sodann mit dem SEM festzuhalten, dass die bekannten und bedauerlichen Schikanen und Diskriminierungen der kurdischen und alevitischen Bevölkerung - ohne deren Tragweite zu verkennen - mangels hinreichender Intensität nicht als ernsthafte Nachteile im Sinne von Art. 3 Abs. 2 AsylG qualifiziert werden können. Für die Annahme einer Kollektivverfolgung gelten praxisgemäss strenge Anforderungen (vgl. BVGE 2014/32 E. 6.1; 2013/12 E. 6), die im Falle der Kurden und Personen alevitischen Glaubens in der Türkei nicht erfüllt sind. Diese Einschätzung bleibt trotz der sich seit dem Putschversuch im Jahr 2016 verschlechternden Situation der Menschenrechte in der Türkei gültig (vgl. Referenzurteil des BVGer E-4103/2024 vom 8. November 2024 E. 7.1 m.w.H.; sowie statt vieler BVGer E-11/2025 vom 26. März 2025 E. 6.2).</w:t>
      </w:r>
    </w:p>
    <w:p>
      <w:r>
        <w:rPr>
          <w:b/>
        </w:rPr>
        <w:t>E. 6.3</w:t>
      </w:r>
    </w:p>
    <w:p>
      <w:r>
        <w:t>Zusammenfassend ist festzuhalten, dass es dem Beschwerdeführer nicht gelungen ist, eine im Sinne von Art. 3 AsylG relevante Verfolgung respektive eine begründete Furcht vor asylrelevanten Nachteilen nachzuweisen. Die Vorinstanz hat das Asylgesuch des Beschwerdeführers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der Türkei herrscht keine Situation allgemeiner Gewalt (vgl. Referenzurteil BVGer E-4103/2024 vom 8. November 2024 E. 13.2).</w:t>
      </w:r>
    </w:p>
    <w:p>
      <w:r>
        <w:rPr>
          <w:b/>
        </w:rPr>
        <w:t>E. 8.3.3</w:t>
      </w:r>
    </w:p>
    <w:p>
      <w:r>
        <w:t>Der Beschwerdeführer ist ein heute (...)-jähriger Mann ohne aktenkundige gesundheitliche Probleme. Er hat das Gymnasium abgeschlossen und verfügt über verschiedene Arbeitserfahrungen ([...] in der Türkei; [...] in der Schweiz). Aufgrund seines jungen Alters, der Tatsache, dass er lediglich für sich selbst aufkommen muss sowie seines familiären und sozialen Beziehungsnetzes in der Türkei - er steht nach wie vor in Kontakt mit seiner Mutter (vgl. SEM-Akten act. 1264051-31 F108) und seine in der Türkei lebende (...) sowie die in der Schweiz lebende (...) wissen über seine sexuelle Orientierung Bescheid und stehden zu ihm (vgl. a.a.O. F122) -, ist nicht davon auszugehen, dass er bei einer Rückkehr in die Türkei aus sozialen, wirtschaftlichen oder medizinischen Gründen in eine Notlage geraten würde. Der Vollzug der Wegweisung erweist sich daher - ungeachtet der geltend gemachten guten Integration in der Schweiz -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