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D-5279/2014 vom 26. September 2014</w:t>
      </w:r>
    </w:p>
    <w:p>
      <w:r>
        <w:t>Bundesverwaltungsgericht, 2014-09-26, DE</w:t>
      </w:r>
    </w:p>
    <w:p>
      <w:r>
        <w:rPr>
          <w:b/>
        </w:rPr>
        <w:t xml:space="preserve">Quelle: </w:t>
      </w:r>
      <w:r>
        <w:t>https://mcp.opencaselaw.ch/entscheid/bvger_D-5279_2014</w:t>
      </w:r>
    </w:p>
    <w:p>
      <w:r>
        <w:t>FR: TAF D-5279/2014 du 26 septembre 2014</w:t>
      </w:r>
    </w:p>
    <w:p>
      <w:r>
        <w:t>IT: TAF D-5279/2014 del 26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Abs. 1 AsylG; Art. 105 AsylG i.V.m. Art. 37 VGG und Art. 48 Abs. 1 sowie Art. 52 Abs. 1 VwVG).</w:t>
      </w:r>
    </w:p>
    <w:p>
      <w:r>
        <w:rPr>
          <w:b/>
        </w:rPr>
        <w:t>E. 2</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als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5.1</w:t>
      </w:r>
    </w:p>
    <w:p>
      <w:r>
        <w:t>Vorliegend gelangt das Bundesverwaltungsgericht nach einlässlicher Prüfung der Akten in Übereinstimmung mit der Vorinstanz zum Schluss, dass die geltend gemachten Vorbringen des Beschwerdeführers nicht a priori unglaubhaft erscheinen und darauf schliessen lassen, dass er in seinem Heimatstaat Eritrea ernstzunehmende beziehungsweise in asylrechtlicher Hinsicht relevante Schwierigkeiten mit den heimatlichen Behörden gehabt hat. An dieser Feststellung vermag auch die neue gesetzliche Bestimmung von Art. 3 Abs. 3, 1. Satz AsylG nichts zu ändern, statuiert doch Art. 3 Abs. 3 AsylG in dessen zweitem Satz gleichzeitig den Vorbehalt der Flüchtlingskonvention. Ob der Beschwerdeführer bei einer allfälligen Rückkehr nach Eritrea einer asylrechtlich relevanten Verfolgung ausgesetzt sein könnte, kann vorliegend dennoch offengelassen werden, da er den zusätzlichen Schutz der Schweiz gemäss aArt. 52 Abs. 2 AsylG nicht benötigt, weil es ihm trotz der zugestandenermassen nicht einfachen Bedingungen für eritreische Flüchtlinge in Äthiopien zuzumuten ist, dort zu verbleiben.</w:t>
      </w:r>
    </w:p>
    <w:p>
      <w:r>
        <w:rPr>
          <w:b/>
        </w:rPr>
        <w:t>E. 5.2</w:t>
      </w:r>
    </w:p>
    <w:p>
      <w:r>
        <w:t>Diesbezüglich ist vorab auf die Erwägungen des BFM in der angefochtenen Verfügung zu verweisen. Insbesondere ist der Vorinstanz darin beizupflichten, dass der Beschwerdeführer, welcher sich eigenen Angaben zufolge mittlerweile seit gut fünf Jahren im Flüchtlingslager D._______ aufhält, dort Zugang zu medizinischer Behandlung hat, was er selber insofern bestätigt hat, als er angab, dort bereits diverse Male Medikamente gegen die Malariakrankheit und seine Ohrenleiden erhalten zu haben (vgl. Protokoll Botschaftsbefragung [act. A6/10] S. 6). Überdies ermöglicht ihm die finanzielle Unterstützung durch seinen in der Schweiz lebenden Bruder zusätzliche medizinische Leistungen ausserhalb des Lagers. Der Umstand, dass die Behandlung seiner medizinischen Leiden in der Schweiz auf qualitativ höherem Niveau als in Äthiopien erfolgen könnte, vermag noch keinen gesetzlichen Anspruch auf Erteilung einer Einreisebewilligung in die Schweiz im Rahmen eines Auslandverfahrens zu begründen. Schliesslich ist entgegen dem diesbezüglichen Einwand in der Beschwerde trotz der Anwesenheit des Bruders B._______ in der Schweiz in Übereinstimmung mit der Vorinstanz nicht von einer überwiegenden Beziehungsnähe zur Schweiz auszugehen. Nach dem Gesagten führt die Abwägung der Gesamtumstände im Sinne von aArt. 52 Abs. 2 AsylG nicht dazu, dass es gerade die Schweiz ist, die den erforderlichen Schutz gewähren soll. Aus dem Gesagten folgt, dass das BFM dem Beschwerdeführer zu Recht die Einreise in die Schweiz verweigert und sein Asylgesuch abgelehnt hat.</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Aufgrund obiger Erwägungen ist das in der Beschwerde gestellte Gesuch um Gewährung der unentgeltlichen Prozessführung im Sinne von Art. 65 Abs. 1 VwVG abzuweisen, da die Begehren als aussichtslos zu bezeichnen sind, weshalb die Voraussetzungen für die Gewährung der unentgeltlichen Rechtspflege nicht erfüllt sind. Damit wären die Kosten des Verfahrens grundsätzlich dem Beschwerdeführer aufzuerlegen (Art. 65 Abs. 1 VwVG e contrario). Indessen ist vorliegend aus verwaltungsökonomischen Gründen sowie in Anwendung von Art. 63 Abs. 1 in fine VwVG und Art. 6 Abs. 1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