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D-526/2007 vom 2. Juli 2010</w:t>
      </w:r>
    </w:p>
    <w:p>
      <w:r>
        <w:t>Bundesverwaltungsgericht, 2010-07-02, DE</w:t>
      </w:r>
    </w:p>
    <w:p>
      <w:r>
        <w:rPr>
          <w:b/>
        </w:rPr>
        <w:t xml:space="preserve">Quelle: </w:t>
      </w:r>
      <w:r>
        <w:t>https://mcp.opencaselaw.ch/entscheid/bvger_D-526_2007</w:t>
      </w:r>
    </w:p>
    <w:p>
      <w:r>
        <w:t>FR: TAF D-526/2007 du 2 juillet 2010</w:t>
      </w:r>
    </w:p>
    <w:p>
      <w:r>
        <w:t>IT: TAF D-526/2007 del 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anerkennt,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Entscheidungen und Mitteilungen der ARK [EMARK] 2004 Nr. 1, 1993 Nr. 21, 1993 Nr. 11).</w:t>
      </w:r>
    </w:p>
    <w:p>
      <w:r>
        <w:rPr>
          <w:b/>
        </w:rPr>
        <w:t>E. 3.3</w:t>
      </w:r>
    </w:p>
    <w:p>
      <w:r>
        <w:t>Wer sich darauf beruft, dass durch sein Verhalten nach der Ausreise aus dem Heimat- oder Herkunftsstaat - insbesondere durch politische Exilaktivitäten - eine Gefährdungssituation erst geschaffen worden ist, macht subjektive Nachfluchtgründe geltend (Art. 54 AsylG). Eine solche Person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Wesentlich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Subjektive Nachfluchtgründe begründen zwar die Flüchtlingseigenschaft im Sinne von Art. 3 AsylG, führen jedoch gemäss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Entscheide des Schweizerischen Bundesverwaltungsgerichts [BVGE] 2009/28 E. 7.1 S. 352; EMARK 1995 Nr. 7 E. 7b und 8 S. 67 und 70). Stattdessen werden Personen, die subjektive Nachfluchtgründe nachweisen oder glaubhaft machen können, als Flüchtlinge vorläufig aufgenommen (vgl. EMARK 2000 Nr. 16 E. 5a S. 141 f., mit weiteren Hinweisen).</w:t>
      </w:r>
    </w:p>
    <w:p>
      <w:r>
        <w:rPr>
          <w:b/>
        </w:rPr>
        <w:t>E. 4.1</w:t>
      </w:r>
    </w:p>
    <w:p>
      <w:r>
        <w:t>Die Beschwerdeführenden machen das Vorliegen subjektiver Nachfluchtgründe geltend. Der Beschwerdeführer habe am (Datum) und (Datum) in Internetforen regimekritische Beiträge platziert. Zudem seien am (Datum) und (Datum) in der türkischen Zeitschrift "N._______" zwei von ihm verfasste Artikel publiziert worden. In den diesbezüglichen Strafverfahren gegen den Verleger der Zeitschrift "N._______" habe er - der Beschwerdeführer - die Verantwortung für die besagten Artikel in schriftlichen Erklärungen übernommen. Bezüglich der Einzelheiten wird auf die zu den Akten gegebenen Beweismittel verwiesen. Es ist mithin zu prüfen, ob die Beschwerdeführenden aufgrund ihres geschilderten Verhaltens nach der Ausreise aus dem Heimatland respektive nach Abschluss des ersten Asylverfahrens befürchten müssten, einer zukünftigen Verfolgung seitens der türkischen Behörden ausgesetzt zu sein und aus diesem Grund die Voraussetzungen für die Zuerkennung der Flüchtlingseigenschaft erfüllen.</w:t>
      </w:r>
    </w:p>
    <w:p>
      <w:r>
        <w:rPr>
          <w:b/>
        </w:rPr>
        <w:t>E. 4.2</w:t>
      </w:r>
    </w:p>
    <w:p>
      <w:r>
        <w:t>Das BFM erachtete die Vorbringen der Beschwerdeführenden als den Anforderungen an die Flüchtlingseigenschaft gemäss Art. 3 AsylG nicht genügend, da keine hinreichenden Anhaltspunkte für eine konkrete Bedrohung bestünden. Dieser Einschätzung ist beizupflichten.</w:t>
      </w:r>
    </w:p>
    <w:p>
      <w:r>
        <w:rPr>
          <w:b/>
        </w:rPr>
        <w:t>E. 4.2.1</w:t>
      </w:r>
    </w:p>
    <w:p>
      <w:r>
        <w:t>Grundsätzlich ist zwar zu erwarten, dass die Aktivitäten kurdischer Exilorganisationen oder einzelner Exponenten eines gewissen Formats von regimetreuen Bürgern oder im Ausland lebenden Behördenvertretern der Türkei beobachtet werden. Dieser Umstand reicht indessen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w:t>
      </w:r>
    </w:p>
    <w:p>
      <w:r>
        <w:rPr>
          <w:b/>
        </w:rPr>
        <w:t>E. 4.2.2</w:t>
      </w:r>
    </w:p>
    <w:p>
      <w:r>
        <w:t>Ein solcher Exponierungsgrad kann den Beschwerdeführenden nicht beigemessen werden. Für den Zeitpunkt der Ausreise aus der Türkei im Jahr 2002 konnten die Beschwerdeführenden keine Verfolgung im Sinne von Art. 3 AsylG nachweisen oder zumindest glaubhaft machen. Das nunmehr im Rahmen der zweiten Asylgesuche geltend gemachte exilpolitische Engagement der Beschwerdeführenden ist nicht derart, als dass damit subjektive Nachfluchtgründe im Sinne von Art. 54 AsylG begründet werden könnten. Die Beschwerdeführenden sind gemäss eigenen Angaben nicht Mitglieder der PKK und sie sind auch in der Schweiz keiner Partei oder Organisation beigetreten; der Beschwerdeführer beschränke sich auf Vereinsbesuche, bei denen er keine führende Position ausübe, und auch bei vom Beschwerdeführer und von der Beschwerdeführerin gemeinsam besuchten Veranstaltungen - den Feiern zum 1. Mai, einer Abendveranstaltung der MLKP und einer Gedenkveranstaltung für einen Dichter - hätten sie keine bestimmten Funktionen oder Aufgaben übernommen. Die Beschwerdeführenden weisen damit kein herausragendes politisches Profil auf und es ist unwahrscheinlich, dass sie wegen der Teilnahme an den genannten Veranstaltungen und Vereinsbesuchen ein spezielles Interesse der türkischen Behörden auf sich gezogen hätten. Mit den am (Datum) und (Datum) in Internetforen veröffentlichten Beiträgen und der Publikation von zwei Artikeln in der türkischen Zeitschrift "N._______" am (Datum) und (Datum) hat der Beschwerdeführer ebenfalls nicht Tatsachen gesetzt, die ein derartiges Mass an Gefährdung erwarten lassen, dass er deshalb nicht mehr in die Türkei zurückreisen könnte. Die im Internet veröffentlichen Beiträge des Beschwerdeführers fallen in die vom BFM nach Abschluss des ersten Asylverfahrens neu angesetzte Ausreisefrist bis zum 22. September 2006 und Vieles deutet darauf hin, der Beschwerdeführer habe versucht, sich und seiner Familie damit ein Aufenthaltsrecht in der Schweiz zu erzwingen. Die Beschwerdeführenden bezeichneten diese Beiträge in der Beschwerdeeingabe vom 19. Januar 2007 denn auch als Verzweiflungstaten und Reaktion auf den negativen ersten Asylentscheid. Darauf deutet auch die Publikation der Zeitschriftenartikel vom (Datum) und (Datum) während des hängigen Beschwerdeverfahrens hin. Der Beschwerdeführer äusserte die Befürchtung, er könnte aufgrund seiner Publikationen in der Türkei in Pressestrafverfahren beziehungsweise in auf das Antiterrorgesetz gestützte Strafverfahren verwickelt werden; gegen den Verleger der Zeitschrift "N._______" seien aufgrund der Artikel vom (Datum) und (Datum) bereits Verfahren erhoben worden, und er - der Beschwerdeführer - habe angesichts der abgegebenen Verantwortlichkeitserklärungen im Laufe der Zeit ebenfalls mit einer Verfahrenseröffnung zu rechnen. In den Akten finden sich jedoch keine konkreten Hinweise dafür, dass gegen den Beschwerdeführer aufgrund seiner publizistischen Tätigkeit behördliche Massnahmen eingeleitet worden wären. Hinsichtlich der Beiträge in den Internetforen führten die Beschwerdeführenden in ihrer Replik vom 11. April 2007 selbst aus, es sei höchst unwahrscheinlich, dass deswegen bereits ein Strafverfahren eingeleitet worden sei. Selbst wenn die türkischen Behörden von den Internetbeiträgen Notiz genommen haben sollten, erscheint es zudem fraglich, ob sie angesichts der nunmehr lange zurückliegenden Veröffentlichung und der generell grossen Anzahl kritischer Beiträge türkischer Staatsangehöriger im Internet überhaupt (noch) ein diesbezügliches Verfolgungsinteresse hätten. Angesichts der lange zurückliegenden Veröffentlichung ist im Übrigen auch nicht davon auszugehen, dass dem Beschwerdeführer in der Türkei eine Gefährdung durch Drittpersonen, die ihn wegen seiner Beiträge im Internet beschimpft hätten, droht, zumal nicht anzunehmen ist, dass er dort ausfindig gemacht werden könnte. Hinsichtlich der Artikel in der Zeitschrift "N._______" ist festzustellen, dass die zu den Akten gegebenen Gerichtsunterlagen nicht den Beschwerdeführer, sondern den Verleger der Zeitschrift betreffen. Diese Dokumente vermögen nicht als Beweis dafür zu dienen, dass gegen den Beschwerdeführer ein Strafverfahren eröffnet worden wäre beziehungsweise eine entsprechende Verfahrenseröffnung in Kürze bevorstehe. Mit dem blossen Verweis auf die allgemeine Gesetzeslage vermögen die Beschwerdeführenden keine konkrete, begründete Furcht vor ernsthaften Nachteilen zu begründen. Zudem ist es - wie das BFM zutreffend festgehalten hat - in der Türkei in den letzten Jahren in wegen Pressedelikten eröffneten Strafverfahren in vielen Fällen zu Freisprüchen gekommen. Soweit entsprechende Verfahren zu einem Schuldspruch geführt haben, wurden in den überwiegenden Fällen nur bedingte Freiheitsstrafen oder Bussen ausgesprochen; dies insbesondere bei Personen wie dem Beschwerdeführer, die politisch und journalistisch nicht profiliert sind. Zudem wurde regelmässig auf die Anordnung von Untersuchungshaft verzichtet und - sofern eine unbedingte Freiheitsstrafe ausgesprochen wurde - die Aufforderung zum Antritt des Strafvollzugs erst nach Eintritt der Rechtskraft des Strafurteils erlassen. Selbst wenn gegen den Beschwerdeführer ein Verfahren eröffnet werden und dieses zu einer gerichtlichen Verurteilung führen sollte, kann angesichts der Aktenlage, wonach nicht anzunehmen ist, dass die türkischen Behörden ihn als prokurdischen Aktivisten mit langjährigem politischem Hintergrund einstufen, davon ausgegangen werden, dass er ein allfälliges Strafverfahren bis zum rechtskräftigen Abschluss in Freiheit abwarten könnte.</w:t>
      </w:r>
    </w:p>
    <w:p>
      <w:r>
        <w:rPr>
          <w:b/>
        </w:rPr>
        <w:t>E. 4.3</w:t>
      </w:r>
    </w:p>
    <w:p>
      <w:r>
        <w:t>Zusammenfassend ist festzustellen, dass die exilpolitischen Tätigkeiten der Beschwerdeführenden nicht geeignet sind, eine in flüchtlingsrechtlicher Hinsicht relevante Verfolgungssituation zu begründen. Sie erfüllen die Voraussetzungen für die Zuerkennung der Flüchtlingseigenschaft gemäss Art. 3 AsylG damit auch unter dem Aspekt subjektiver Nachfluchtgründe gemäss Art. 54 AsylG nicht. Das BFM hat die zweiten Asylgesuche der Beschwerdeführenden demnach zu Recht abgelehnt. Nach dem Gesagten erhellt auch, dass die Begehren um Kassation der vorinstanzlichen Verfügung und Rückweisung der Sache an das BFM sowie um Einholung einer Botschaftsabklärung (Eventualantrag) abzuweisen sind.</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verfügten Wegweisungen stehen im Einklang mit den gesetzlichen Bestimmungen und wurden demnach vom BFM zu Recht angeordnet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asylbeachtlich relevante Gefährdung nachzuweisen, kann das in Art. 5 AsylG verankerte Prinzip des flüchtlingsrechtlichen Rückschiebungsverbots nicht zur Anwendung gelangen. Der Vollzug der Wegweisung in die Türkei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Dies ist vorliegend nicht der Fall. Auch die allgemeine Menschenrechtssituation in der Türkei lässt den Wegweisungsvollzug zum heutigen Zeitpunkt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allgemeine Lage in der Türkei spricht nicht gegen die Zumutbarkeit des Wegweisungsvollzugs. Es liegt keine Situation vor, die die Beschwerdeführenden als "Gewalt- oder de-facto-Flüchtlinge" qualifizieren würde.</w:t>
      </w:r>
    </w:p>
    <w:p>
      <w:r>
        <w:rPr>
          <w:b/>
        </w:rPr>
        <w:t>E. 6.2.2</w:t>
      </w:r>
    </w:p>
    <w:p>
      <w:r>
        <w:t>In den Akten finden sich auch keine konkreten Anhaltspunkte dafür, dass die Beschwerdeführenden aus individuellen Gründen wirtschaftlicher, sozialer oder gesundheitlicher Natur in eine existenzbedrohende Situation geraten würden. Die soweit aktenkundig gesunden Beschwerdeführenden verfügen im Heimatland über Angehörige und somit über ein Beziehungsnetz. Der Beschwerdeführer hat zudem langjährige Berufserfahrung in der (Branche), weshalb insgesamt nicht davon auszugehen ist, die Familie würde bei einer Rückkehr in eine ihre Existenz vernichtende Situation geraten, die als konkrete Gefährdung im Sinne der zu beachtenden Bestimmungen zu werten wäre (Art. 83 Abs. 4 AuG).</w:t>
      </w:r>
    </w:p>
    <w:p>
      <w:r>
        <w:rPr>
          <w:b/>
        </w:rPr>
        <w:t>E. 6.2.3</w:t>
      </w:r>
    </w:p>
    <w:p>
      <w:r>
        <w:t>Der Vollzug der Wegweisung erweist sich daher sowohl in genereller als auch in individueller Hinsicht als zumutbar.</w:t>
      </w:r>
    </w:p>
    <w:p>
      <w:r>
        <w:rPr>
          <w:b/>
        </w:rPr>
        <w:t>E. 6.3</w:t>
      </w:r>
    </w:p>
    <w:p>
      <w:r>
        <w:t>Schliesslich obliegt es den Beschwerdeführenden, bei der Beschaffung gültiger Reisepapiere mitzuwirken (Art. 8 Abs. 4 AsylG), weshalb der Vollzug der Wegweisung auch als möglich zu bezeichnen ist (Art. 83 Abs. 2 AuG).</w:t>
      </w:r>
    </w:p>
    <w:p>
      <w:r>
        <w:rPr>
          <w:b/>
        </w:rPr>
        <w:t>E. 6.4</w:t>
      </w:r>
    </w:p>
    <w:p>
      <w:r>
        <w:t>Insgesamt ist der durch die Vorinstanz verfügte Wegweisungsvollzug zu bestätigen. Das BFM hat diesen zu Recht als zulässig, zumutbar und möglich erachtet. Eine Anordnung der vorläufigen Aufnahme der Beschwerdeführenden fällt damit ausser Betracht (Art. 83 Abs. 1-4 AuG).</w:t>
      </w:r>
    </w:p>
    <w:p>
      <w:r>
        <w:rPr>
          <w:b/>
        </w:rPr>
        <w:t>E. 7</w:t>
      </w:r>
    </w:p>
    <w:p>
      <w:r>
        <w:t>Aus diesen Erwägungen ergibt sich, dass die angefochtene Verfügung Bundesrecht nicht verletzt, den Sachverhalt richtig und vollständig feststellt und angemessen ist (Art. 106 AsylG). Die Beschwerde ist somit abzuweisen.</w:t>
      </w:r>
    </w:p>
    <w:p>
      <w:r>
        <w:rPr>
          <w:b/>
        </w:rPr>
        <w:t>E. 8</w:t>
      </w:r>
    </w:p>
    <w:p>
      <w:r>
        <w:t>Bei diesem Ausgang des Verfahrens wären dessen Kosten grundsätzlich den Beschwerdeführenden aufzuerlegen (Art. 63 Abs. 1 und 5 VwVG). Da jedoch - nach Feststellung der Nichtaussichtslosigkeit der Beschwerde und der Bedürftigkeit der Beschwerdeführenden - deren Gesuch um Verzicht auf die Erhebung eines Kostenvorschusses vom 13. Februar 2007 und damit implizit auch das entsprechende Gesuch um Erlass der Verfahrenskosten gemäss Art. 65 Abs. 1 VwVG mit Zwischenverfügung vom 12. März 2007 gutgeheissen wurde, sind vorliegend keine Verfahrenskosten zu erheben, zumal der Beschwerdeführer aktenkundig erst seit Kurzem einer Erwerbstätigkeit nachgeht.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