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D-5269/2011 vom 16. Juli 2012</w:t>
      </w:r>
    </w:p>
    <w:p>
      <w:r>
        <w:t>Bundesverwaltungsgericht, 2012-07-16, DE</w:t>
      </w:r>
    </w:p>
    <w:p>
      <w:r>
        <w:rPr>
          <w:b/>
        </w:rPr>
        <w:t xml:space="preserve">Quelle: </w:t>
      </w:r>
      <w:r>
        <w:t>https://mcp.opencaselaw.ch/entscheid/bvger_D-5269_2011</w:t>
      </w:r>
    </w:p>
    <w:p>
      <w:r>
        <w:t>FR: TAF D-5269/2011 du 16 juillet 2012</w:t>
      </w:r>
    </w:p>
    <w:p>
      <w:r>
        <w:t>IT: TAF D-5269/2011 del 16 luglio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AuG).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 Auf die Beschwerde ist somit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Gestützt auf Art. 57 Abs. 1 VwVG (e contrario) wurde auf einen Schriftenwechsel verzichtet.</w:t>
      </w:r>
    </w:p>
    <w:p>
      <w:r>
        <w:rPr>
          <w:b/>
        </w:rPr>
        <w:t>E. 4</w:t>
      </w:r>
    </w:p>
    <w:p>
      <w:r>
        <w:t>Nachdem die Verfügung des BFM vom 26. Mai 2010 unangefochten in Rechtskraft erwuchs, steht vorliegend fest, dass die Überprüfung der vom Beschwerdeführer geltend gemachten Asylgründe nicht mehr Gegen-stand dieses Beschwerdeverfahrens bildet. Dennoch fliesst die Feststellung des BFM in der erwähnten Verfügung, die vom Beschwerdeführer geltend gemachten Asylgründe vermöchten den Anforderungen an die Glaubhaftigkeit nicht zu genügen, in die nachfolgenden Erwägungen hinsichtlich des Wegweisungsvollzugs - insbesondere mit Bezug auf die Frage der Unzulässigkeit (vgl. nachstehend E. 6.3) - mit ein.</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den rechtserhebliche Sachverhalt unvollständig und unrichtig abgeklärt habe, zumal sie sich bei ihrer Lagebeurteilung auf eine einzige Quelle stütze, die offensichtlich bereits über ein Jahr alt sei.</w:t>
      </w:r>
    </w:p>
    <w:p>
      <w:r>
        <w:rPr>
          <w:b/>
        </w:rPr>
        <w:t>E. 5.2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5.4.1</w:t>
      </w:r>
    </w:p>
    <w:p>
      <w:r>
        <w:t>In casu ist deshalb zu prüfen, ob die auf Beschwerdeebene erhobene Rüge, das BFM habe gegen formelles Recht verstossen, gerechtfertigt ist. Dabei stellt sich vorliegend die Frage, ob einerseits durch die mangelnde Offenlegung der in die angefochtene Verfügung eingeflossenen Länderinformationen die Begründungspflicht beziehungsweise der Anspruch des Beschwerdeführers auf rechtliches Gehör verletzt und andererseits der rechtserhebliche Sachverhalt unvollständig und unrichtig abgeklärt wurde.</w:t>
      </w:r>
    </w:p>
    <w:p>
      <w:r>
        <w:rPr>
          <w:b/>
        </w:rPr>
        <w:t>E. 5.4.2</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dem Beschwerdeführer hätte Einsicht gewähren können. Allgemeine Länderinformationen, welche der internen Erkenntnisbildung dienen, sind gemäss ständiger Rechtspraxis nicht Bestandteil des Akteneinsichtsrechts und folglich auch nicht offenzulegen. Der Beschwerdeführer kann auch aus dem in der Beschwerde erwähnten Bundesgesetz vom 17. Dezember 2004 über das Öffentlichkeitsprinzip der Verwaltung (Öffentlichkeitsgesetz, BGÖ, SR 152.3) nichts zu seinen Gunsten ableiten, weil dieses Gesetz in Verfahren der Staats- und Verwaltungsrechtspflege keine Geltung hat (vgl. Art. 3 Abs. 1 Ziff. 5 BGÖ). Aus den Akten geht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An dieser Einschätzung ändert auch der Umstand nichts, dass das Bundesverwaltungsgericht mit Verfügung vom 8. Mai 2012 diesen Dienstreisebericht dem Beschwerdeführer zur Stellungnahme zustellte. Schliesslich ist davon auszugehen, dass das BFM dem Beschwerdeführer mit Schreiben vom 29. Juli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ausgenommenen Dokumente geltend gemacht. Insgesamt liegt somit keine Verletzung des Akteneinsichtsrechts beziehungsweise der Begründungspflicht vor, da das BFM nicht gehalten war, die verwendeten allgemein zugänglichen Länderinformationen im beantragten Ausmass detailliert offenzulegen.</w:t>
      </w:r>
    </w:p>
    <w:p>
      <w:r>
        <w:rPr>
          <w:b/>
        </w:rPr>
        <w:t>E. 5.4.3.1</w:t>
      </w:r>
    </w:p>
    <w:p>
      <w:r>
        <w:t>In der Beschwerde wird ferner im Zusammenhang mit der Rüge, das BFM habe den rechtserheblichen Sachverhalt unvollständig und unrichtig abgeklärt, (sinngemäss) vorgebracht, das BFM hätte sich bei der Entscheidfindung nicht nur auf die UNHCR-Richtlinie vom 5. Juli 2010 stützen dürfen, sondern hätte auch die neusten Berichte über die Situation in Sri Lanka beachten müssen. Damit habe es den rechtserheblichen Sachverhalt nicht vollständig abgeklärt.</w:t>
      </w:r>
    </w:p>
    <w:p>
      <w:r>
        <w:rPr>
          <w:b/>
        </w:rPr>
        <w:t>E. 5.4.3.2</w:t>
      </w:r>
    </w:p>
    <w:p>
      <w:r>
        <w:t>Die Rüge, das BFM habe sich bei der Entscheidfindung zu Unrecht nur auf die UNHCR-Richtlinie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nur die Richtlinie des UNHCR erwähnt wurde, kann nicht der Schluss gezogen werden, sie sei die einzige Informationsquelle für die Entscheidung gewesen. Davon wird im Übrigen auch in der Beschwerdeschrift - trotz der entsprechenden Rüge - selber nicht ernsthaft ausgegangen, weil gleichzeitig auch geltend gemacht wurde, das BFM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Erwägung 5.4.2 zu verweisen.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Schliesslich ist in diesem Zusammenhang festzuhalten, dass sich der Beschwerdeführer in der Beschwerde offensichtlich zu den in der angefochtenen Verfügung festgehaltenen Argumenten ausführlich äussern konnte.</w:t>
      </w:r>
    </w:p>
    <w:p>
      <w:r>
        <w:rPr>
          <w:b/>
        </w:rPr>
        <w:t>E. 5.5</w:t>
      </w:r>
    </w:p>
    <w:p>
      <w:r>
        <w:t>Zusammenfassend ist somit festzuhalten, dass insgesamt kein Anlass besteht, die angefochtene Verfügung wegen Verletzung formellen Rechts aufzuheben und die Sache zur Neubeurteilung an das BFM zurückzuweisen. Das BFM war gestützt auf die vorangehenden Erwägungen nicht gehalten, die verwendeten allgemeinen Länderinformationen offenzulegen, weshalb sich die Rüge, die Begründungspflicht und damit der Anspruch auf rechtliches Gehör seien verletzt worden, als unbegründet erweist. Den vorstehenden Ausführungen zufolge ist auch die Ermittlung des rechtserheblichen Sachverhalts seitens des BFM nicht zu bemängeln.</w:t>
      </w:r>
    </w:p>
    <w:p>
      <w:r>
        <w:rPr>
          <w:b/>
        </w:rPr>
        <w:t>E. 6.1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6.2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6.3.2</w:t>
      </w:r>
    </w:p>
    <w:p>
      <w:r>
        <w:t>Die Vorinstanz stellte in der angefochtenen Verfügung zu Recht fest, der Beschwerdeführer sei gemäss Verfügung vom 26. Mai 2010 nicht als Flüchtling anerkannt worden, weshalb der Grundsatz der Nichtrückschiebung gemäss Art. 5 Abs. 1 AsylG nicht angewendet werden könne.</w:t>
      </w:r>
    </w:p>
    <w:p>
      <w:r>
        <w:rPr>
          <w:b/>
        </w:rPr>
        <w:t>E. 6.3.3</w:t>
      </w:r>
    </w:p>
    <w:p>
      <w:r>
        <w:t>Es bleibt zu prüfen, ob dem Beschwerdeführer mit beachtlicher Wahrscheinlichkeit eine nach Art. 3 EMRK oder FoK verbotene Strafe oder Behandlung droht. Er macht diesbezüglich geltend, es würden ihm aufgrund seiner zweijährigen Tätigkeit für die LTTE (Liberation Tigers of Tamil Eelam) und als abgewiesener tamilischer Asylbewerber bei einer Rückschaffung willkürliche und zeitlich unbegrenzte Inhaftierung, Folter und andere Menschenrechtsverletzungen drohen.</w:t>
      </w:r>
    </w:p>
    <w:p>
      <w:r>
        <w:rPr>
          <w:b/>
        </w:rPr>
        <w:t>E. 6.3.4</w:t>
      </w:r>
    </w:p>
    <w:p>
      <w:r>
        <w:t>Zunächst ist diesbezüglich auf das bereits erwähnte Grundsatzurteil des Bundesverwaltungsgerichts (BVGE 2011/24) zu verweisen, wonach der Vollzug von Wegweisungen nach Sri Lanka zum heutigen Zeitpunkt nicht generell unzulässig ist. Diese Auffassung teilt auch der Europäische Gerichtshof für Menschenrechte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Bei einer kumulativen Würdigung sämtlicher Aspekte müsse insgesamt eine gewisse Schwelle erreicht sein, welche vermuten lasse, dass der Ausländer bei einer Rückkehr ins Heimatland die Aufmerksamkeit der sri-lankischen Behörden in einem flüchtlingsrechtlich relevanten Ausmass oder menschenrechtswidrige Behandlung zu befürchten habe (vgl. BVGE 2011/24 E. 10.4.2 bzw. EGMR, T.N. gegen Dänemark, a.a.O., § 93, S. 28).</w:t>
      </w:r>
    </w:p>
    <w:p>
      <w:r>
        <w:rPr>
          <w:b/>
        </w:rPr>
        <w:t>E. 6.3.5</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generell eine konkrete Gefährdung anzunehmen ist. Entgegen den (sinngemässen) Ausführungen des Beschwerdeführers in der Rechtsmittelschrift werden nämlich keineswegs sämtliche aus dem Norden und Osten Sri Lankas stammenden abgewiesenen Asylbewerber als LTTE-Sympathisanten vermutet und gesucht. Vielmehr ist massgebend, ob ihnen mutmasslich persönliche Beziehungen zu Mitgliedern in hoher Stellung innerhalb der LTTE unterstellt werden, wobei auch die Intensität dieser Beziehung zu berücksichtigen wäre. Diese Aspekte sind bei der Prüfung zu berücksichtigen, ob sie wegen Verbindung zu den LTTE bei einer allfälligen Rückkehr gefährdet sind (vgl. BVGE 2011/24 E. 8.4.3).</w:t>
      </w:r>
    </w:p>
    <w:p>
      <w:r>
        <w:rPr>
          <w:b/>
        </w:rPr>
        <w:t>E. 6.3.6</w:t>
      </w:r>
    </w:p>
    <w:p>
      <w:r>
        <w:t>Der Beschwerdeführer macht geltend, er sei nach dem Tod seines Vaters, der für die LTTE tätig gewesen sei, von der sri-lankischen Armee verdächtigt worden, die LTTE zu unterstützen, weswegen die ganze Familie im September 2006 in das von den LTTE kontrollierte Vanni-Gebiet geflohen sei. Dort sei er von den LTTE zwangsrekrutiert worden und habe in einem ihrer Camps eine Ausbildung absolvieren müssen. Er habe sich anschliessend bis Ende 2008 bei den LTTE aufgehalten, bevor es ihm gelungen sei zu fliehen und sich der sri-lankischen Armee zu stellen. Aus Angst, einmal trotzdem von dieser angeschuldigt zu werden, mit den LTTE in Verbindung zu stehen, habe er sich entschlossen, das Land zu verlassen.</w:t>
      </w:r>
    </w:p>
    <w:p>
      <w:r>
        <w:rPr>
          <w:b/>
        </w:rPr>
        <w:t>E. 6.3.7</w:t>
      </w:r>
    </w:p>
    <w:p>
      <w:r>
        <w:t>Bezüglich dieser angeblich vor der Ausreise aus Sri Lanka erlittenen beziehungsweise befürchteten Verfolgung ist darauf hinzuweisen, dass das BFM in seiner Verfügung vom 26. Mai 2010 feststellte, die Asylvorbringen des Beschwerdeführers hielten den Anforderungen an die Glaubhaftigkeit nicht stand. Diese Qualifikation hat der Beschwerdeführer nicht angefochten und damit anerkannt. Somit steht - in Berücksichtigung der neusten Praxis des Bundesverwaltungsgerichts - fest, dass er im Fall einer Rückkehr in sein Heimatland nicht damit rechnen muss, die Aufmerksamkeit der sri-lankischen Behörden in einem flüchtlingsrechtlich relevanten Ausmass auf sich zu ziehen. Gestützt darauf bestehen auch keine hinreichenden Anhaltspunkte dafür, ihm würde aus dem gleichen Grund eine menschenrechtswidrige Behandlung drohen. An dieser Einschätzung vermögen auch die Einwände in der Beschwerde respektive in der Stellungnahme vom 23. Mai 2012 nichts zu ändern.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In der angefochtenen Verfügung bejahte das BFM die Zumutbarkeit des Wegweisungsvollzuges, da der Beschwerdeführer aus einem Distrikt stamme, der seit längerer Zeit unter Regierungskontrolle stehe und wo weitgehend ein normales Alltagsleben herrsche. Weder die vor Ort herrschende Sicherheitslage noch individuelle Gründe sprächen gegen einen Wegweisungsvollzug. In der Stellungnahme vom 3. August 2011 werde vorgebracht, dass der Beschwerdeführer über kein tragfähiges Beziehungsnetz verfüge und zu seinen Verwandten in Sri Lanka keinen Kontakt mehr habe. Dies müsse jedoch als reine Schutzbehauptung angesehen werden, da nicht ersichtlich sei, weshalb der Beschwerdeführer den Kontakt zu seinen Verwandten in Jaffna und in Colombo hätte abbrechen sollen. Zudem sei ihm im Januar 2009 die gesamte Reise von seinem Onkel, wohnhaft in Colombo, organisiert und finanziert worden. Wer eine teure Reise mit einem Schlepper finanzieren könne, sollte auch in der Lage sein, den Beschwerdeführer in der Anfangsphase seiner Rückkehr finanziell zu unterstützen. Zudem verfüge der Beschwerdeführer über einen Schulabschluss und sei nach eigenen Aussagen (...), weshalb ihm auch ein Wiedereinstieg in den Berufsalltag möglich sein sollte.</w:t>
      </w:r>
    </w:p>
    <w:p>
      <w:r>
        <w:rPr>
          <w:b/>
        </w:rPr>
        <w:t>E. 6.4.3</w:t>
      </w:r>
    </w:p>
    <w:p>
      <w:r>
        <w:t>Der Beschwerdeführer macht in der Rechtsmittelschrift beziehungsweise seiner Stellungnahme vom 23. Mai 2012 hauptsächlich geltend, entgegen der Ansicht des BFM sei die Sicherheits- und Menschenrechtslage im Norden Sri Lankas trotz der Beendigung des Bürgerkrieges im Mai 2009 noch klar ungenügend, so dass seine Rückkehr dorthin nicht als zumutbar qualifiziert werden könne. Die Militärpräsenz sei in diesen Gebieten sehr hoch und es komme zu diskriminierenden Einschränkungen der tamilischen Bevölkerung. Die Vorinstanz erachte seinen Einwand, er habe keinen Kontakt mehr zu seinen Verwandten in Sri Lanka und somit dort auch kein Beziehungsnetz, als reine Schutzbehauptung. Es gebe jedoch keinen Anlass, an seinen Aussagen zu zweifeln. Aufgrund der schwierigen Situation in seiner Heimat habe er weder zu seiner Mutter, seiner Schwester noch zu seinem in Colombo lebenden Onkel Kontakt, weshalb er in Sri Lanka über kein funktionierendes Beziehungsnetz verfüge. Zudem sei zu berücksichtigen, dass er keinerlei Berufserfahrung habe, da er nie als (...) gearbeitet habe.</w:t>
      </w:r>
    </w:p>
    <w:p>
      <w:r>
        <w:rPr>
          <w:b/>
        </w:rPr>
        <w:t>E. 6.4.4</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6.4.5</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dessen Vorbringen bezüglich der derzeitigen Situation in Sri Lanka nichts zu ändern, ebenso wenig die von ihm zitierten Berichte, da sie überwiegend vor dem Grundsatzurteil des Bundesverwaltungsgerichts publiziert wurden. Es erübrigt sich daher, auf die diesbezüglichen Vorbringen des Beschwerdeführers weiter einzugehen. Hinsichtlich seiner Beziehungen im Heimatstaat ist festzustellen, dass er bei der Befragung zur Person vom 30. Januar 2009 zu Protokoll gab, zwei Tanten und ein Onkel würden in Jaffna leben. Zudem wohne ein Onkel in Colombo. Seine Mutter und seine Schwester hätten sich in E._______ aufgehalten, über ihren jetzigen Aufenthaltsort wisse er jedoch nicht Bescheid (BFM-Akten A 1/10 S. 2 f.). Mit der Vorinstanz ist davon auszugehen, dass die Behauptung des Beschwerdeführers, er habe keinen Kontakt mehr mit seiner Familie in Sri Lanka, als Schutzbehauptung zu werten ist, zumal er schon unglaubhafte Aussagen zu seinen Fluchtgründen machte. Abgesehen davon ist nicht ersichtlich, weshalb er den Kontakt zu seinen Verwandten, insbesondere zu seinen Onkeln und Tanten, abgebrochen haben sollte, zumal ihn sein Onkel in Colombo erheblich bei der Organisation der Ausreise unterstützte. Die Aussage in der Rechtsmittelschrift, wonach der Onkel in Colombo aus Sicherheitsgründen jeglichen Kontakt mit ihm vermeide, vermag das Gericht nicht zu überzeugen. Der Beschwerdeführer belegt sodann in keiner Weise, inwiefern er sich vergeblich um eine Kontaktaufnahme mit seinen Verwandten in Sri Lanka bemüht hätte. Unter diesen Umständen ist entgegen seinen Aussagen davon auszugehen, dass er in Jaffna beziehungsweise in Colombo - als Aufenthaltsalternative - über ein tragfähiges soziales Netz verfügt. Seine Familie und seine Verwandten werden den jungen und - gemäss den Akten - gesunden Beschwerdeführer zumindest vorübergehend aufnehmen und allenfalls bei der Arbeitssuche unterstützen können. Dieser besuchte nach eigenen Angaben in Sri Lanka die Schule bis zur 10. Klasse (A 7/15 S. 3). Zudem verfügt er über eine Ausbildung als (...) und in der Schweiz ist er seit einiger Zeit in der (...) tätig, weshalb er in der Lage sein wird, sich in der Heimat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in eine existenzielle Notlage geraten würde. Der Vollzug der Wegweisung erweist sich somit sowohl in genereller als auch in individueller Hinsicht als zumutbar.</w:t>
      </w:r>
    </w:p>
    <w:p>
      <w:r>
        <w:rPr>
          <w:b/>
        </w:rPr>
        <w:t>E. 6.5</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6.6</w:t>
      </w:r>
    </w:p>
    <w:p>
      <w:r>
        <w:t>Zusammenfassend hat die Vorinstanz den Wegweisungsvollzug zu Recht als zulässig, zumutbar und möglich bezeichnet und die vorläufige Aufnahme des Beschwerdeführers aufgehoben.</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8.1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8.2</w:t>
      </w:r>
    </w:p>
    <w:p>
      <w:r>
        <w:t>Aus der Datenbank des "Zentralen Migrationsinformationssystems" des BFM (ZEMIS, vgl. ZEMIS-Verordnung vom 12. April 2006 [SR 142.513]) ist ersichtlich, dass der Beschwerdeführer seit (...) erwerbstätig ist, weshalb er nicht als bedürftig zu erachten ist. Mangels Erfüllen der kumulativen Voraussetzungen von Art. 65 Abs. 1 VwVG (bedürftig/nicht aussichtslos) ist das Gesuch um Gewährung der unentgeltlichen Rechtspflege abzuweisen.</w:t>
      </w:r>
    </w:p>
    <w:p>
      <w:r>
        <w:rPr>
          <w:b/>
        </w:rPr>
        <w:t>E. 8.3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