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D-5260/2013 vom 11. April 2014</w:t>
      </w:r>
    </w:p>
    <w:p>
      <w:r>
        <w:t>Bundesverwaltungsgericht, 2014-04-11, DE</w:t>
      </w:r>
    </w:p>
    <w:p>
      <w:r>
        <w:rPr>
          <w:b/>
        </w:rPr>
        <w:t xml:space="preserve">Quelle: </w:t>
      </w:r>
      <w:r>
        <w:t>https://mcp.opencaselaw.ch/entscheid/bvger_D-5260_2013</w:t>
      </w:r>
    </w:p>
    <w:p>
      <w:r>
        <w:t>FR: TAF D-5260/2013 du 11 avril 2014</w:t>
      </w:r>
    </w:p>
    <w:p>
      <w:r>
        <w:t>IT: TAF D-5260/2013 del 11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der Beschwerdeführer würde eine Verfolgung durch Dritte vorbringen, welche nur asylrelevant sei, wenn der Heimatstaat seiner Schutzpflicht nicht nachkomme oder nicht in der Lage sei, Schutz zu gewähren. Bei Guinea-Bissau sei grundsätzlich davon auszugehen, dass der Staat seiner Schutzpflicht nachkomme und der Schutz durch die zivilen Institutionen der Strafverfolgung gewährleistet sei, obwohl auch bekannt sei, dass Armeeeinheiten in B._______ teilweise nicht mit den zivilen Behörden zusammen arbeiten würden und höhere Offiziere ihre Stellung missbräuchten. Der Beschwerdeführer hätte Schutz bei staatlichen Stellen suchen müssen. Da er dies nicht getan habe, hielten seine Vorbringen nicht den Anforderungen an die Flüchtlingseigenschaft gemäss Art. 3 AsylG stand.</w:t>
      </w:r>
    </w:p>
    <w:p>
      <w:r>
        <w:rPr>
          <w:b/>
        </w:rPr>
        <w:t>E. 4.2</w:t>
      </w:r>
    </w:p>
    <w:p>
      <w:r>
        <w:t>In seiner Beschwerde brachte der Beschwerdeführer im Wesentlichen vor, gemäss dem Bericht des US Department of State vom 19. April 2013 seien die zivile Polizei und die Strafverfolgungsbehörden in Guinea-Bissau fast nicht mehr handlungsfähig. Sie hätten kaum finanzielle Mittel, um die Polizisten und die notwendige Infrastruktur zu bezahlen. Die Behörden seien zudem korrupt und die Beeinflussung des Militärs sei allgegenwärtig. Auch in weiteren Berichten sei die fehlende Schutzmöglichkeit der Behörden Guinea-Bissaus beschrieben, weshalb die Darstellung des BFM unzutreffend und er bei einer Rückkehr in sein Heimatland gefährdet sei. Weiter habe auch seine Tante, bei der er vor seiner Flucht gewohnt habe, das Land verlassen. Sein Verfolger habe ihn mehrfach zu Hause gesucht und hierbei seine Tante wiederholt bedroht. Ausserdem sei er, der Beschwerdeführer, für den Unterhalt der Tante zuständig gewesen. Aufgrund der Notlage sei seine Tante in den Senegal geflohen, wo sie bei einer Bekannten lebe, von welcher sie unterstützt werde.</w:t>
      </w:r>
    </w:p>
    <w:p>
      <w:r>
        <w:rPr>
          <w:b/>
        </w:rPr>
        <w:t>E. 4.3</w:t>
      </w:r>
    </w:p>
    <w:p>
      <w:r>
        <w:t>In seiner Vernehmlassung vom 8. Oktober 2013 führte das BFM aus, dass die Flucht der Tante in den Senegal zum Zeitpunkt der Verfügung nicht bekannt gewesen sei. Der Beschwerdeführer habe in den Anhörungen ausgesagt, keinen Kontakt zur Tante zu haben. Weiter wäre es Aufgabe des Beschwerdeführers gewesen, diese veränderte Sachlage gegenüber dem BFM vorzubringen, insbesondere da keine Gründe ersichtlich seien, weshalb er dies erst auf Beschwerdeebene geltend gemacht habe. Daher müsse davon ausgegangen werden, dass es sich nur um eine pauschale Behauptung handle, die nachgeschoben werde, um den Sachverhalt an die ablehnende Verfügung anzupassen. Zudem habe das BFM in der vorinstanzlichen Verfügung vom 15. August 2013 lediglich auf die Asylrelevanz abgestellt und sei nicht auf die Unglaubhaftigkeit der Vorbringen eingegangen, was nunmehr nachgeholt werde. So sei es nicht nachvollziehbar, weshalb der Beschwerdeführer ein so zentrales Beweismittel wie seine Identitätskarte nicht mit auf die Flucht genommen habe, zumal er angegeben habe, am Tage seiner Flucht einige persönliche Sachen aus dem Lager, wo sich auch seine Identitätskarte befunden habe, mitgenommen zu haben. Zum andern habe sich der Beschwerdeführer hinsichtlich der Anzahl der (...) widersprochen, für welche ihm der Betrag geschuldet werde. Bei der Erstbefragung habe er von 100 (...) gesprochen, an der Bundesanhörung habe er hingegen geltend gemacht, es handle sich um 200 (...). Diese Ungereimtheiten liessen Zweifel an der Glaubhaftigkeit seiner Vorbringen aufkommen. Schliesslich hielt das BFM an den weiteren Erwägungen der Verfügung vom 15. August 2013 fest, wonach der Beschwerdeführer den Schutz des Staates in Anspruch hätte nehmen können. Zudem hätte es ihm offen gestanden, sich an seinen im Heimatland lebenden Onkel väterlicherseits zu wenden.</w:t>
      </w:r>
    </w:p>
    <w:p>
      <w:r>
        <w:rPr>
          <w:b/>
        </w:rPr>
        <w:t>E. 4.4</w:t>
      </w:r>
    </w:p>
    <w:p>
      <w:r>
        <w:t>Mit Eingabe vom 7. November 2013 nahm der Beschwerdeführer in seiner Replik Stellung zu den Vorbringen des BFM. Hierbei kritisierte er, dass das BFM keine Ausführungen bezüglich der fehlenden funktionierenden Schutzfähigkeit der Staatsgewalt gemacht habe. Auch sei nicht erklärt worden, inwiefern sein Onkel ihm hätte Schutz bieten können. Weiter sei es naheliegend, dass er infolge des negativen Asylentscheids mit Personen aus seinem früheren Umfeld Kontakt aufgenommen habe. Er habe bereits in den Befragungen darauf hingewiesen, dass er direkten Kontakt zu seiner bedrohten Tante vermieden habe, um sie zu schützen. Auch jetzt habe er keinen direkten Kontakt zu ihr, sondern die entsprechenden Informationen von einem Bekannten erhalten. Schliesslich führte er bezüglich der Unglaubhaftigkeit seiner Vorbringen aus, dass er die Identitätskarte, wie er es schon in den Anhörungen gesagt habe, nicht mitgenommen habe, da sie abgelaufen und folglich für die Flucht nicht von grosser Bedeutung gewesen sei.</w:t>
      </w:r>
    </w:p>
    <w:p>
      <w:r>
        <w:rPr>
          <w:b/>
        </w:rPr>
        <w:t>E. 5.1</w:t>
      </w:r>
    </w:p>
    <w:p>
      <w:r>
        <w:t>Fraglich ist, ob die Vorinstanz die ihr obliegende Begründungspflicht verletzt hat. Die Pflicht der Behörden, ihre Verfügungen zu begründen, folgt unmittelbar aus dem Grundsatz des rechtlichen Gehörs nach Art. 29 Abs. 2 der Bundesverfassung der Schweizerischen Eidgenossenschaft vom 18. April 1999 (BV, SR 101) sowie aus Art. 35 Abs. 1 VwVG. Nach den von Lehre und Praxis entwickelten Grundsätzen hat die verfügende Behörde demnach die Überlegungen zu nennen, von denen sie sich leiten liess und auf die sich ihr Entscheid stützt. Die Begründung des Entscheides muss so abgefasst sein, dass die betroffene Person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w:t>
      </w:r>
    </w:p>
    <w:p>
      <w:r>
        <w:rPr>
          <w:b/>
        </w:rPr>
        <w:t>E. 5.2</w:t>
      </w:r>
    </w:p>
    <w:p>
      <w:r>
        <w:t>Das BFM hat in seiner Verfügung vorliegend lediglich auf die im Heimatstaat vorhandene Schutzgewährung abgestellt und den vom Beschwerdeführer geschilderten Sachverhalt als Streit unter Zivilpersonen bewertet, der mangels fehlenden Schutzersuchens des Beschwerdeführers als nicht asylrelevant einzuordnen sei. Diese pauschale Begründung erweist sich als offensichtlich ungenügend, zumal unter dem Punkt der Zulässigkeit des Wegweisungsvollzuges nicht geprüft wurde, ob dem Beschwerdeführer, der immerhin Todesdrohungen geltend macht, eine Art. 3 der Konvention vom 4. November 1950 zum Schutze der Menschenrechte und Grundfreiheiten (EMRK, SR 0.101) verletzende Strafe oder Behandlung drohe.</w:t>
      </w:r>
    </w:p>
    <w:p>
      <w:r>
        <w:rPr>
          <w:b/>
        </w:rPr>
        <w:t>E. 5.3</w:t>
      </w:r>
    </w:p>
    <w:p>
      <w:r>
        <w:t>Hierbei handelt es sich um wesentliche Gesichtspunkte, weshalb von einer Verletzung des rechtlichen Gehörs, wenn auch nicht von einer schwerwiegenden, auszugehen ist. Da das BFM jedoch in der Vernehmlassung eine ausführliche Begründung des Entscheids nachgeholt hat, indem es auf die Prüfung der Glaubhaftigkeit eingeht und ausführt, warum es von der Unglaubhaftigkeit ausgeht, kann gemäss Praxis des Bundesverwaltungsgerichts aus prozessökonomischen Gründen eine Heilung des festgestellten geringfügigen Verfahrensmangels angenommen werden (vgl. BVGE 2008/47 E. 3.3.4, m.w.H.). Dies auch angesichts dessen, dass der Beschwerdeführer mit Verfügung vom 10. Oktober 2013 respektive 24. Oktober 2013 Gelegenheit zur Stellungnahme hatte, von welcher er mit Eingabe vom 7. November 2013 Gebrauch gemacht hat. Die Verletzung des rechtlichen Gehörs wird jedoch im Kostenpunkt zu berücksichtigen sein.</w:t>
      </w:r>
    </w:p>
    <w:p>
      <w:r>
        <w:rPr>
          <w:b/>
        </w:rPr>
        <w:t>E. 6.1</w:t>
      </w:r>
    </w:p>
    <w:p>
      <w:r>
        <w:t>Das Gericht kommt nach Prüfung der Akten zum Ergebnis, dass die Asylvorbringen des Beschwerdeführers den Anforderungen an die Glaubhaftigkeit gemäss Art. 7 AsylG nicht standzuhalten vermögen. 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Asylrelevanz, sondern unter demjenigen der Glaubhaftigkeit. Verfahrensrechte des Beschwerdeführers sind hierbei nicht verletzt, da sich das BFM in seiner Vernehmlassung vom 8. Oktober 2013 zur Frage der Glaubhaftigkeit der Vorbringen geäussert hat und dem Beschwerdeführer mit Verfügung vom 10. Oktober 2013 beziehungsweise 24. Oktober 2013 im Rahmen des Schriftenwechsels rechtliches Gehör zur Frage der Glaubhaftigkeit gewährt wurde.</w:t>
      </w:r>
    </w:p>
    <w:p>
      <w:r>
        <w:rPr>
          <w:b/>
        </w:rPr>
        <w:t>E. 6.2</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6.3</w:t>
      </w:r>
    </w:p>
    <w:p>
      <w:r>
        <w:t>Auch wenn die Vorbringen des Beschwerdeführers sehr detailliert sind (vgl. act. A16, S. 5, 6) und gewisse Realkennzeichen in Bezug zu lokalen Eigenheiten haben (vgl. beispielsweise act. A16, S. 6 zum "landestypischen Respekt gegenüber Älteren"), sind doch zahlreiche Widersprüche bei zentralen Punkten vorhanden, die Zweifel an der Glaubhaftigkeit der Vorbringen begründen. So hat das BFM in seiner Vernehmlassung auf den Widerspruch in Bezug auf die Anzahl der (...), für welche der Betrag geschuldet sei, hingewiesen. Der Beschwerdeführer hat es in seiner Replik unterlassen, sich zu diesem zentralen Widerspruch (100 [...] gemäss act. A4, S. 10, aber 200 [...] gemäss act. A16, S. 5) zu äussern. Für einen (...)händler, der auf den geschuldeten Betrag angewiesen gewesen sein und trotz Bedrohung versucht haben will, die Summe einzufordern, handelt es sich bei der Anzahl der (...) um eine entscheidende Frage aus dem Kernbereich seines Arbeitsfeldes. Von einem selbständigen (...)händler hätten zudem widerspruchsfreie Aussagen zum Preis pro (...) erwartet werden können. Allerdings macht er auch diesbezüglich unterschiedliche Aussagen, heisst es zuerst, ein (...) koste 4000 CFA (Franc de la Communauté Financière d'Afrique) (vgl. act. A4, S. 10), später ist jedoch von 3500 CFA die Rede (vgl. act. A16, S. 6). Er vermag erstaunlicherweise auch nicht zu sagen, wie hoch der insgesamt geschuldete Betrag sein soll (vgl. A4, S. 7), was vor dem Hintergrund, dass er trotz Angst vor dem Militärangehörigen (vgl. act. A16, S. 7) versucht habe, das Geld zu bekommen, nicht überzeugt. Auch die Anzahl der insgesamt vom Schuldner gekauften (...) variiert je nach Befragung. Nach der Schilderung in der Erstbefragung kauft der Kunde erst 100 (...), die er bezahlt, später 100 weitere, deren Betrag er schuldig bleibt (vgl. act. A4, S. 10). Nach der Version der Bundesanhörung kauft der Militärangehörige erst 50, später dann 100 (...), zuletzt noch 200 (...), wobei er den Betrag der 200 zuletzt gekauften (...) nicht begleicht (vgl. act. A16, S. 4, 5). Die Schilderung des Übergriffes des Militärangehörigen bei der Hausdursuchung im Haus der Tante variiert zudem hinsichtlich der Frage, welche Personen die Soldaten hierbei körperlich angegriffen hätten. In der Erstbefragung bringt er vor, die Tante und die beiden Cousins seien verprügelt worden (vgl. act. A4, S. 10). Gemäss der Schilderung der Bundesanhörung ist ausschliesslich die Tante geschlagen worden, den Cousins sei nichts angetan worden, da sie sofort in Panik weggelaufen seien (vgl. act. A16, S. 7).</w:t>
      </w:r>
    </w:p>
    <w:p>
      <w:r>
        <w:rPr>
          <w:b/>
        </w:rPr>
        <w:t>E. 6.4</w:t>
      </w:r>
    </w:p>
    <w:p>
      <w:r>
        <w:t>Zusammenfassend ergibt sich, dass es dem Beschwerdeführer nicht gelungen ist, die Flüchtlingseigenschaft nachzuweisen oder zumindest glaubhaft zu machen. Das BFM hat sein Asylgesuch demnach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Hinsichtlich der allgemeinen Lage ist festzustellen, dass das Bundesverwaltungsgericht betreffend Guinea-Bissau nicht von einer Situation allgemeiner Gewalt ausgeht, die den Wegweisungsvollzug generell als unzumutbar erscheinen liesse (vgl. etwa Urteile E-6722/2012 vom 21. Februar 2013, D-5608/2012 vom 11. Januar 2013, E-5310/2012 vom 23. Oktober 2012 und E-273/2012 vom 19. Januar 2012). Blosse soziale und wirtschaftliche Schwierigkeiten, von denen weite Teile der ansässigen Bevölkerung betroffen sind, genügen praxisgemäss nicht, um eine Gefährdung im Sinne von Art. 83 Abs. 4 AuG darzustellen (vgl. BVGE 2010/41 E. 8.3.6).</w:t>
      </w:r>
    </w:p>
    <w:p>
      <w:r>
        <w:rPr>
          <w:b/>
        </w:rPr>
        <w:t>E. 8.6</w:t>
      </w:r>
    </w:p>
    <w:p>
      <w:r>
        <w:t>Es bleibt zu prüfen, ob individuelle Gründe vorliegen, die eine Rückkehr des Beschwerdeführers in seinen Heimatstaat als unzumutbar erscheinen lassen. Der Beschwerdeführer hat elf Jahre lang die Schule besucht und vor seiner Ausreise über mehrere Jahre als (...)verkäufer gearbeitet (vgl. act. A16, S. 4), weshalb davon auszugehen ist, dass er eine Arbeit finden wird und seinen Lebensunterhalt, wie zuvor, selbst verdienen kann. Unterstützung hierbei könnte ihm gewiss auch sein in der Heimatstadt lebender Onkel väterlicherseits (vgl. act. A16, S. 4) gewähren. Mit seinem Onkel vor Ort und den sicherlich durch seine selbständige berufliche Tätigkeit vorhandenen Sozialkontakten (siehe auch Kontaktperson im Heimatland, die sich für ihn nach einem Strafregisterauszug erkundigt habe, act. A16, S. 2) wird er über ein soziales, intaktes Beziehungsnetz im Heimatland verfügen, welches ihm Unterstützung hinsichtlich Arbeit und Unterkunft gewähren könnte. Angesichts dessen kann auch dahinstehen, ob es sich bei der Behauptung des Beschwerdeführers, wonach seine Tante nicht mehr im Heimatland lebe, sondern in den Senegal geflohen sei, um eine unbewiesene pauschale Behauptung handelt, wie das BFM in der Vernehmlassung vorbringt. Es sind auch keine gesundheitlichen Probleme aktenkundig, welche gegen eine Unzumutbarkeit der Rückkehr sprechen würden. Mithin lassen weder die aktuelle allgemeine Lage in Guinea-Bissau noch konkrete individuelle Gründe auf eine konkrete Gefährdung des Beschwerdeführers im Falle einer Rückkehr in sein Heimatland schliessen. Demnach erweist sich der Vollzug der Wegweisung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dem Beschwerdeführer die Verfahrenskosten aufzuerlegen, allerdings wegen der Verletzung formellen Rechts durch das BFM nur in ermässigtem Umfang (Art. 63 Abs. 1 VwVG; Art. 1 - 3 des Reglements vom 21. Februar 2008 über die Kosten und Entschädigungen vor dem Bundesverwaltungsgericht [VGKE, SR 173.320.2]). Nachdem jedoch das mit der Beschwerde gestellte Gesuch um Gewährung der unentgeltlichen Rechtspflege mit Verfügung vom 23. September 2013 gutgeheissen wurde, werden keine Verfahrenskosten auferlegt.</w:t>
      </w:r>
    </w:p>
    <w:p>
      <w:r>
        <w:rPr>
          <w:b/>
        </w:rPr>
        <w:t>E. 11</w:t>
      </w:r>
    </w:p>
    <w:p>
      <w:r>
        <w:t>Angesichts der Verletzung des rechtlichen Gehörs durch das BFM hätte der Beschwerdeführer grundsätzlich wegen teilweisen Obsiegens in der Beschwerdesache einen Anspruch auf eine anteilsmässige Parteientschädigung. Da der Beschwerdeführer jedoch nicht vertreten ist, sind ihm auch keine entsprechenden Kosten für die Rechtsvertretung erwachsen, weshalb ihm keine Parteientschädigung zuzusprechen ist (Art. 64 Abs. 1 VwVG;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