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D-5257/2015 vom 9. September 2015</w:t>
      </w:r>
    </w:p>
    <w:p>
      <w:r>
        <w:t>Bundesverwaltungsgericht, 2015-09-09, DE</w:t>
      </w:r>
    </w:p>
    <w:p>
      <w:r>
        <w:rPr>
          <w:b/>
        </w:rPr>
        <w:t xml:space="preserve">Quelle: </w:t>
      </w:r>
      <w:r>
        <w:t>https://mcp.opencaselaw.ch/entscheid/bvger_D-5257_2015</w:t>
      </w:r>
    </w:p>
    <w:p>
      <w:r>
        <w:t>FR: TAF D-5257/2015 du 9 septembre 2015</w:t>
      </w:r>
    </w:p>
    <w:p>
      <w:r>
        <w:t>IT: TAF D-5257/2015 del 9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w:t>
      </w:r>
    </w:p>
    <w:p>
      <w:r>
        <w:rPr>
          <w:b/>
        </w:rPr>
        <w:t>E. 3.4</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Dublin-III-VO wieder aufzunehmen.</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In der Beschwerde wird zunächst geltend gemacht, Voraussetzung für eine rechtmässige Überstellungsverfügung sei die Möglichkeit, das rechtliche Gehör dazu auszuüben, nachdem die Zustimmungserklärung des Mitgliedstaates beziehungsweise die Verfristungserklärung vorliege. Die Wahrnehmung des rechtlichen Gehörs bedeute, dass sich die betroffene Person konkret ein Bild über ihre Situation machen können müsse. Eine generelle Frage in der BzP genüge dieser Anforderung "wohl" nicht, da sie in der Regel nicht in ihrer Tragweite verstanden werde. Der Beschwerdeführer habe zwar Gründe geltend gemacht. Es sei ersichtlich, dass es ihm in Bulgarien sehr schlecht ergangen sei, er habe aber "sicherlich" nicht alle Gründe angebracht, die er habe anbringen wollen. Auch die Tatsache seines massiven Zusammenbruchs angesichts des Nichteintretensentscheides mache deutlich, dass das rechtliche Gehör nicht genügend gewährt worden sei.</w:t>
      </w:r>
    </w:p>
    <w:p>
      <w:r>
        <w:rPr>
          <w:b/>
        </w:rPr>
        <w:t>E. 4.2</w:t>
      </w:r>
    </w:p>
    <w:p>
      <w:r>
        <w:t>Der Anspruch auf rechtliches Gehör wird durch Art. 29 bis 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 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3. Aufl., Bern 2013, S. 610 ff.; Benoit Bovay, Procédure administrative, Bern 2000, S. 207 ff.; Ulrich Häfelin/Georg Müller/Felix Uhlmann, Allgemeines Verwaltungsrecht, 6. Aufl., Zürich/St. Gallen 2010, S. 384 ff.; Alfred Kölz/Isa­belle Häner/Martin Bertschi, Verwaltungsverfahren und Verwaltungsrechtspflege des Bundes, 3. Aufl., Zürich 2013, S. 70 ff., 173 ff.; Jörg Paul Müller/Markus Schefer, Grundrechte in der Schweiz,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Auer/Malinverni/Hottelier, a.a.O., S. 615 ff.; Gerold Steinmann, in: Die schweizerische Bundesverfassung, St. Galler Kommentar zu Art. 29 BV, Rz. 44 ff.; Kölz/Häner/Bertschi, a.a.O., S. 193 ff.; Müller/Schefer, a.a.O., S. 885 ff.).</w:t>
      </w:r>
    </w:p>
    <w:p>
      <w:r>
        <w:rPr>
          <w:b/>
        </w:rPr>
        <w:t>E. 4.3</w:t>
      </w:r>
    </w:p>
    <w:p>
      <w:r>
        <w:t>Ob Asylsuchende aus den Bestimmungen der Dublin-VO über die Kriterien zur Ermittlung des zuständigen Staates subjektive Rechtspositionen ableiten können, wurde vom Bundesverwaltungsgericht mit Urteil D-5079/2009 vom 3. September 2009 verneint. Gemäss Art. 5 Dublin-III-VO führt der die Zuständigkeit prüfende Mitgliedstaat ein persönliches Gespräch mit dem Antragssteller, um das Verfahren zur Bestimmung des zuständigen Mitgliedstaats zu erleichtern. Es würde dem Zweck der Verpflichtung zu einem persönlichen Gespräch zuwiderlaufen, würde dieses erst unmittelbar vor der Überstellungsentscheidung durchgeführt werden. Sinnvollerweise sollte das persönliche Gespräch mit dem Antragsteller bereits noch vor der Einleitung eines Konsultationsverfahrens erfolgen (vgl. Christian Filzwieser/Andrea Sprung, Dublin III-Verordnung - Das Europäische Asylzuständigkeitssystem, Wien und Graz 2014, K6. zu Art. 5 S. 109). Dies ergibt sich auch aus prozessökonomischen Gründen, da ein Asylbewerber bereits in der BzP gute Gründe vorbringen kann, die ein Ersuchen um Aufnahme beziehungsweise Wiederaufnahme als überflüssig erscheinen lassen.</w:t>
      </w:r>
    </w:p>
    <w:p>
      <w:r>
        <w:rPr>
          <w:b/>
        </w:rPr>
        <w:t>E. 4.4</w:t>
      </w:r>
    </w:p>
    <w:p>
      <w:r>
        <w:t>Ferner gilt es anzumerken, dass von einem (...)-jährigen Beschwerdeführer erwartet werden kann, dass dieser die Tragweite der Frage, was gegen eine mögliche Überstellung beziehungsweise zur mutmasslichen Zuständigkeit eines Mitgliedstaates zur Durchführung des Asyl- und Wegweisungsverfahrens spricht, versteht und imstande ist, die diesbezüglichen Gründe zu nennen. So brachte der Beschwerdeführer denn auch anlässlich der BzP vor, was aus seiner Sicht gegen die Überstellung nach Bulgarien spricht. Auf Beschwerdeebene wird sodann in Bezug auf den Beschwerdeführer selber - abgesehen von der geltend gemachten gesundheitlichen Situation sowie der allgemeinen Lage in Bulgarien - nichts weiter vorgebracht, obwohl gemäss Beschwerdevorbringen der Beschwerdeführer in der BzP "sicherlich" nicht alle Gründe angebracht habe, die er hätte anbringen wollen. Es ist an dieser Stelle ohnehin auf Art. 32 Abs. 2 VwVG zu verweisen, wonach die Behörde verspätete Parteivorbringen, die ausschlaggebend erscheinen, trotz der Verspätung noch berücksichtigen kann. In gesetzlicher Hinsicht ist zudem nicht festgelegt, ob einem Beschwerdeführer vor oder nach der Zustimmungserklärung eines Mitgliedstaates beziehungsweise der Verfristungserklärung das rechtliche Gehör zu gewähren ist, vielmehr ist diesbezüglich auf soeben Erwähntes zu verweisen. Insgesamt erweist sich somit dieses Vorbringen als verfehlt.</w:t>
      </w:r>
    </w:p>
    <w:p>
      <w:r>
        <w:rPr>
          <w:b/>
        </w:rPr>
        <w:t>E. 5.1</w:t>
      </w:r>
    </w:p>
    <w:p>
      <w:r>
        <w:t>Den Akten ist - wie bereits ausgeführt - zu entnehmen, dass der Beschwerdeführer spätestens am 12. April 2015 in Bulgarien in das Hoheitsgebiet der Dublin-Staaten einreiste und dort am 16. April 2015 um Asyl nachsuchte. Das SEM ersuchte die bulgarischen Behörden um Rücknahme des Beschwerdeführers, diese nahmen innert Frist keine Stellung. Die grundsätzliche Zuständigkeit Bulgariens, die im Übrigen vom Beschwerdeführer nicht bestritten wurde, ist somit gegeben.</w:t>
      </w:r>
    </w:p>
    <w:p>
      <w:r>
        <w:rPr>
          <w:b/>
        </w:rPr>
        <w:t>E. 5.2.1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von Art. 4 der Charta der Grundrechte der Europäischen Union (ABl. C 364/1 vom 18. Dezember 2000, nachfolgend: EU-Grundrechtecharta) mit sich bringen würden.</w:t>
      </w:r>
    </w:p>
    <w:p>
      <w:r>
        <w:rPr>
          <w:b/>
        </w:rPr>
        <w:t>E. 5.2.2</w:t>
      </w:r>
    </w:p>
    <w:p>
      <w:r>
        <w:t>Die schweizerischen Behörden müssen zwar dafür sorgen, dass der Beschwerdeführer im Falle einer Überstellung nach Bulgarien nicht einer dem internationalen Recht widersprechenden Behandlung ausgesetzt ist. Bulgarien ist indessen Vertragspartei der EMRK, des Übereinkommens vom 10. Dezember 1984 gegen Folter und andere grausame, unmenschliche oder erniedrigende Behandlung oder Strafe (FoK, SR 0.105), der FK sowie des Zusatzprotokolls der FK vom 31. Januar 1967 (SR 0.142.301) und kommt seinen diesbezüglichen völkerrechtlichen Verpflichtungen grundsätzlich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5.2.3</w:t>
      </w:r>
    </w:p>
    <w:p>
      <w:r>
        <w:t>Bulgarien ist als nach Art. 3 Abs. 1 Dublin-III-VO zuständiger Staat gehalten, jeden Antrag auf internationalen Schutz zu prüfen.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5.2.4</w:t>
      </w:r>
    </w:p>
    <w:p>
      <w:r>
        <w:t>Gemäss dem Bericht des UNHCR vom April 2014 (UNHCR Observations on the Current Situation of Asylum in Bulgaria) wurden bezüglich Bulgarien wesentliche Fortschritte in den Aufnahme- und Lebensbedingungen festgestellt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(fortwährende Renovierungsarbeiten in zwei Aufnahmezentren, Installationen von Waschmaschinen und Küchen, geplantes Zentrum für besonders verletzliche Gruppen von Asylsuchenden, Gestaltung von kinderfreundlichen Plätzen, Gewährleistung von Rechtsberatung). Die Bulgarian State Agency for Refugees (SAR) verzeichnete mit Hilfe des European Asylum Support Office (EASO) wesentliche Fortschritte im Registrierungsprozess der Asylsuchenden, es wurden sämtliche Asylsuchenden registriert und entsprechende Ausweise ausgestellt und die EASO steht den Angehörigen der SAR insbesondere auch in asylrechtlichen Fragen beratend zur Seite. Das UNHCR gelangte im zitierten Bericht zum Schluss, dass sich seine ursprüngliche Empfehlung, einstweilen generell von Überstellungen nach Bulgarien abzusehen, nicht länger aufrechterhalten lasse.</w:t>
      </w:r>
    </w:p>
    <w:p>
      <w:r>
        <w:rPr>
          <w:b/>
        </w:rPr>
        <w:t>E. 5.2.5</w:t>
      </w:r>
    </w:p>
    <w:p>
      <w:r>
        <w:t>Auch das Bundesverwaltungsgericht vertritt in konstanter Rechtsprechung die Auffassung, dass es keine wesentlichen Gründe für die Annahme gibt, das Asylverfahren und die Aufnahmebedingungen für Antragsteller in Bulgarien würden systemische Schwachstellen aufweisen, die eine Gefahr einer unmenschlichen oder entwürdigenden Behandlung im Sinne von Art. 4 EU-Grundrechtecharta mit sich bringen würden. (vgl. Urteile des Bundesverwaltungsgerichts D-3794/2014 vom 17. April 2015 und D-1008/2014 vom 15. Juli 2014).</w:t>
      </w:r>
    </w:p>
    <w:p>
      <w:r>
        <w:rPr>
          <w:b/>
        </w:rPr>
        <w:t>E. 5.2.6</w:t>
      </w:r>
    </w:p>
    <w:p>
      <w:r>
        <w:t>Den Ausführungen des Beschwerdeführers sind keine stichhaltigen Anhaltspunkte dafür zu entnehmen, dass die bulgarischen Behörden im konkreten Fall ihren Verpflichtungen nicht nachkommen und ihm den benötigten Schutz nicht gewähren würden. Er hat kein konkretes und ernsthaftes Risiko dargetan, die bulgarischen Behörden würden sich weigern, ihn aufzunehmen und seinen Antrag auf internationalen Schutz unter Einhaltung der Regeln der Verfahrensrichtlinie zu prüfen. Den Akten sind auch keine Gründe für die Annahme zu entnehmen, Bulgarien werde in seinem Fall den Grundsatz des Non-Refoulements missachten und ihn zur Ausreise in ein Land zwingen, in dem sein Leib, sein Leben oder seine Freiheit aus einem Grund nach Art. 3 Abs. 1 AsylG gefährdet wären oder in dem er Gefahr liefe, zur Ausreise in ein solches Land gezwungen zu werden. Ausserdem hat der Beschwerdeführer nicht dargetan, dass die ihn bei einer Rückführung erwartenden Bedingungen in Bulgarien derart schlecht wären, dass sie zu einer Verletzung von Art. 4 EU-Grundrechtecharta, Art. 3 EMRK oder Art. 3 FoK führen könnten. Den Akten sind auch keine konkreten Hinweise für die Annahme zu entnehmen,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5.3.1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5.3.2</w:t>
      </w:r>
    </w:p>
    <w:p>
      <w:r>
        <w:t>Gemäss der Rechtsprechung des EGMR kann aus Art. 3 EMRK kein Anspruch auf Verbleib in einem Signatarstaat abgeleitet werden, um in den Genuss der dortigen medizinischen Behandlungsmöglichkeiten zu kommen. Im Fall Bensaid gegen Grossbritannien hat der EGMR in seinem Urteil vom 6. Februar 2001 (Nr. 44599/98) festgehalten, dass die EMRK auch dann Schutz bietet, wenn mangels angemessener Behandlungsmöglichkeiten im Heimat- oder Herkunftsstaat eine Verschlechterung des psychischen Gesundheitszustands eintreten würde, die selbstgefährdende Handlungen des Betroffenen zur Folge haben könnte. Der EGMR wies jedoch auf die hohe Schwelle für die Annahme einer Verletzung von Art. 3 EMRK hin (vgl. auch das Urteil des EGMR vom 30. Juni 2015, A.S. gegen Schweiz, Nr. 39350/13). Der Beschwerdeführer führte in Bezug auf seine gesundheitliche Situation an der BzP vom 3. Juni 2015 aus, er sei physisch gesund, es gehe ihm jedoch psychisch schlecht, er leide aber an keiner psychischen Erkrankung, auch sei er nie psychiatrisch behandelt worden und habe nie Psychopharmaka nehmen müssen. Ein medizinischer Bericht wurde mit Bitte um Ansetzung einer Nachfrist in Aussicht gestellt. Der EGMR setzte sich in seinem Urteil Tarakhel gegen die Schweiz vom 4. November 2014 (Nr. 29217/12) konkret mit der Überstellung von Familien mit minderjährigen Kindern auseinander und zeigte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(vgl. auch das erwähnte Urteil des EGMR vom 30. Juni 2015, A.S. gegen Schweiz, Nr. 39350/13). Der in der Beschwerde sinngemäss gestellte Antrag, die Vorinstanz sei anzuweisen, bei den bulgarischen Behörden eine Garantie einzuholen, dass er nach der Überstellung Zugang zu einer adäquaten Unterkunft und Betreuung erhalte, ist demnach abzuweisen. Die Dublin-Mitgliedstaaten haben Antragstellern die erforderliche medizinische Versorgung, die zumindest die Notversorgung und die unbedingt erforderliche Behandlung von Krankheiten und schweren psychischen Störungen umfasst, zugänglich zu machen (Art. 19 Abs. 1 Aufnahmerichtlinie), und ihnen im Falle besonderer Bedürfnisse die erforderliche medizinische oder sonstige Hilfe zu gewähren (Art. 19 Abs. 2 Aufnahmerichtlinie). Die mit dem Vollzug der Wegweisung beauftragten schweizerischen Behörden haben der gesundheitlichen Verfassung des Beschwerdeführers bei der Bestimmung der konkreten Modalitäten der Überstellung Rechnung zu tragen. Sie haben die Reisefähigkeit des Beschwerdeführers zu prüfen, für allfällige ärztliche Begleitung besorgt zu sein und die bulgarischen Behörden vorgängig in geeigneter Weise über die spezifischen medizinischen Umstände und den indizierten Behandlungsbedarf detailliert zu informieren (Art. 31 f. Dublin-III-VO), so dass die bulgarischen Behörden in der Lage sein werden, die notwendigen Vorkehrungen zu treffen.</w:t>
      </w:r>
    </w:p>
    <w:p>
      <w:r>
        <w:rPr>
          <w:b/>
        </w:rPr>
        <w:t>E. 5.3.3</w:t>
      </w:r>
    </w:p>
    <w:p>
      <w:r>
        <w:t>Das Bundesverwaltungsgericht geht in seiner Praxis davon aus, dass Bulgarien über eine ausreichende medizinische Infrastruktur zur Behandlung von psychischen und physischen Beschwerden von Asylsuchenden verfügt (vgl. Urteile D-7339/2014 vom 5. März 2015, D-7511/2014 vom 14. Januar 2015 und D-4751/2014 vom 12. November 2014) und den in Art. 19 Abs. 1 Aufnahmerichtlinie enthaltenen Verpflichtungen nachkommt. Es liegen keine konkreten Hinweise vor, wonach Bulgarien dem Beschwerdeführer eine adäquate medizinische Behandlung verweigern würde. Auf die Nachreichung eines medizinischen Berichts kann demzufolge verzichtet werden.</w:t>
      </w:r>
    </w:p>
    <w:p>
      <w:r>
        <w:rPr>
          <w:b/>
        </w:rPr>
        <w:t>E. 5.3.4</w:t>
      </w:r>
    </w:p>
    <w:p>
      <w:r>
        <w:t>Angesichts dieser Ausführungen ist der Schluss zu ziehen, dass im Falle eines Vollzugs der Wegweisung des Beschwerdeführers nach Bulgarien die hohe Schwelle eines Verstosses gegen Art. 3 EMRK nicht erreicht ist. Das SEM ist somit nicht zu verpflichten, aufgrund übergeordneten Völkerrechts vom Selbsteintrittsrecht Gebrauch zu machen.</w:t>
      </w:r>
    </w:p>
    <w:p>
      <w:r>
        <w:rPr>
          <w:b/>
        </w:rPr>
        <w:t>E. 5.4</w:t>
      </w:r>
    </w:p>
    <w:p>
      <w:r>
        <w:t>Nach dem Gesagten besteht kein Grund für eine Anwendung von Art. 3 Abs. 2 Dublin-III-VO oder der Ermessenklauseln von Art. 17 Dublin-III-VO. Der Vollständigkeit halber ist festzuhalten, dass die Dublin-III-VO den Schutzsuchenden kein Recht einräumt, den ihren Antrag prüfenden Staat selber auszuwählen (vgl. auch BVGE 2010/45 E. 8.3).</w:t>
      </w:r>
    </w:p>
    <w:p>
      <w:r>
        <w:rPr>
          <w:b/>
        </w:rPr>
        <w:t>E. 5.5</w:t>
      </w:r>
    </w:p>
    <w:p>
      <w:r>
        <w:t>Die vom Beschwerdeführer zitierten Urteile beziehungsweise Beschlüsse insbesondere deutscher und österreichischer Gerichte sowie die in den in der Rechtsmitteleingabe erwähnten Berichten vertretene Auffassung, von Rücküberstellungen von Asylsuchenden nach Bulgarien sei abzusehen, vermögen an der vorstehend dargelegten Würdigung des Sachverhalts ebenso wenig zu ändern wie die weiteren Beschwerdevorbringen, weshalb es sich erübrigt, näher darauf einzugehen. Zudem gilt es anzumerken, dass auf den Eingang der eventuell in Aussicht gestellten Stellungnahme in Bezug auf humanitäre Gründe sowie das mangelhaft funktionierende Rechtssystem in Bulgarien angesichts gemachter Ausführungen verzichtet werden kann. Die mit der Beschwerde eingereichten Dokumente betreffend Vorfälle in Afghanistan haben keinen Bezug zur Frage der Zuständigkeit für die Behandlung des Asyl- und Wegweisungsverfahrens des Beschwerdeführers, weshalb auf diese Beweismittel nicht einzugehen ist.</w:t>
      </w:r>
    </w:p>
    <w:p>
      <w:r>
        <w:rPr>
          <w:b/>
        </w:rPr>
        <w:t>E. 6</w:t>
      </w:r>
    </w:p>
    <w:p>
      <w:r>
        <w:t>Die Schweiz kann aus humanitären Gründen gestützt auf Art. 29a Abs. 3 AsylV 1 (SR 142.311) von ihrem Selbsteintrittsrecht Gebrauch machen. Dem SEM kommt bei der Anwendung dieser Bestimmung Ermessen zu (vgl. zum Ganzen das Grundsatzurteil E-641/2014 vom 13. März 2015, zur Publikation vorgesehen). Den Akten sind keine Hinweise auf eine gesetzeswidrige Ermessensausübung (vgl. Art. 106 Abs. 1 Bst. a AsylG) durch das SEM zu entnehmen, weshalb sich das Bundesverwaltungsgericht weiterer Ausführungen zur Frage des Selbsteintritts enthält. Daran ändern auch die erst auf Beschwerdeebene vorgebrachten gesundheitlichen Beschwerden nichts.</w:t>
      </w:r>
    </w:p>
    <w:p>
      <w:r>
        <w:rPr>
          <w:b/>
        </w:rPr>
        <w:t>E. 7</w:t>
      </w:r>
    </w:p>
    <w:p>
      <w:r>
        <w:t>Das SEM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In Anbetracht der vorstehenden Erwägungen ist die Beschwerde abzuweisen und die Verfügung des SEM zu bestätigen. Das Beschwerdeverfahren ist mit vorliegendem Urteil abgeschlossen, weshalb sich der Antrag auf Gewährung der aufschiebenden Wirkung sowie auf Anordnung vorsorglicher Massnahmen und das Gesuch um Verzicht auf die Erhebung eines Kostenvorschusses als gegenstandslos erweisen.</w:t>
      </w:r>
    </w:p>
    <w:p>
      <w:r>
        <w:rPr>
          <w:b/>
        </w:rPr>
        <w:t>E. 10.1</w:t>
      </w:r>
    </w:p>
    <w:p>
      <w:r>
        <w:t>Eine Partei, die nicht über die erforderlichen Mittel verfügt, wird auf Antrag hin von der Bezahlung der Verfahrenskosten befreit, sofern ihr Begehren nicht aussichtslos erscheint (Art. 65 Abs. 1 VwVG). Vorliegend ist die Beschwerde aufgrund der Erwägungen als aussichtslos zu qualifizieren, weshalb das Gesuch um Erlass der Verfahrenskosten im Sinne von Art. 65 Abs. 1 VwVG abzuweisen ist.</w:t>
      </w:r>
    </w:p>
    <w:p>
      <w:r>
        <w:rPr>
          <w:b/>
        </w:rPr>
        <w:t>E. 10.2</w:t>
      </w:r>
    </w:p>
    <w:p>
      <w:r>
        <w:t>Bei diesem Ausgang des Verfahrens sind dem Beschwerdeführer die Verfahrenskosten von Fr. 600.- aufzuerlegen (vgl. dazu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