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D-5252/2010 vom 16. Mai 2012</w:t>
      </w:r>
    </w:p>
    <w:p>
      <w:r>
        <w:t>Bundesverwaltungsgericht, 2012-05-16, DE</w:t>
      </w:r>
    </w:p>
    <w:p>
      <w:r>
        <w:rPr>
          <w:b/>
        </w:rPr>
        <w:t xml:space="preserve">Quelle: </w:t>
      </w:r>
      <w:r>
        <w:t>https://mcp.opencaselaw.ch/entscheid/bvger_D-5252_2010</w:t>
      </w:r>
    </w:p>
    <w:p>
      <w:r>
        <w:t>FR: TAF D-5252/2010 du 16 mai 2012</w:t>
      </w:r>
    </w:p>
    <w:p>
      <w:r>
        <w:t>IT: TAF D-5252/2010 del 16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zunächst festzuhalten, dass gemäss Art. 19 Abs. 1 AsylG ein Asylgesuch im Ausland bei einer schweizerischen Vertretung gestellt werden kann, welches diese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Im vorliegenden Fall wurden diesen gesetzlichen Bestimmungen durch die Einholung detaillierter Informationen durch die schweizerische Botschaft, die Befragung des Beschwerdeführers sowie den entsprechenden Bericht der schweizerischen Vertretung praxisgemäss Genüge getan (vgl. BVGE 2007/30).</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Das Bundesamt kann ein im Ausland gestelltes Asylgesuch ablehnen, wenn die asylsuchenden Personen keine Verfolgung glaubhaft machen können oder ihnen die Aufnahme in einem Drittstaat zugemutet werden kann. Glaubhaft gemacht ist die Verfolgung,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5.1</w:t>
      </w:r>
    </w:p>
    <w:p>
      <w:r>
        <w:t>Gemäss Art. 20 Abs. 2 AsylG bewilligt das BFM Asylsuchenden die Einreise zur Abklärung des Sachverhalts,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der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2004 Nr. 21 E. 2b, EMARK 1997 Nr. 15 E. 2.e-g). Ausschlaggebend für die Erteilung der Einreisebewilligung ist die Schutzbedürftigkeit der betroffenen Person (vgl. EMARK 1997 Nr. 15 E. 2c), mithin die Frage, ob eine Gefährdung im Sinne von Art. 3 AsylG glaubhaft gemacht wird und ob der Verbleib am Aufenthaltsort für die Dauer der Sachverhaltsabklärung zugemutet werden kann.</w:t>
      </w:r>
    </w:p>
    <w:p>
      <w:r>
        <w:rPr>
          <w:b/>
        </w:rPr>
        <w:t>E. 6.1</w:t>
      </w:r>
    </w:p>
    <w:p>
      <w:r>
        <w:t>Einleitend ist festzuhalten, dass sich der Beschwerdeführer in seiner Beschwerde vom 20. Juli 2010 nicht explizit mit den substanziierten und überzeugenden Erwägungen der Vorinstanz auseinandersetzt. Vielmehr wiederholt er in verkürzter Version seine bereits im Verfahren vor dem Bundesamt gemachten Sachverhaltsvorbringen und verweist pauschal auf internationale und von der Schweiz ratifizierte Übereinkommen und deren Missachtung durch die schweizerischen Asylbehörden sowie auf seine schwierigen Lebensbedingungen in Sri Lanka, da er regimekritische Journalisten in der Funktion als (...) unterstützt und deren Texte auf einschlägige Internetseiten lädt.</w:t>
      </w:r>
    </w:p>
    <w:p>
      <w:r>
        <w:rPr>
          <w:b/>
        </w:rPr>
        <w:t>E. 6.2</w:t>
      </w:r>
    </w:p>
    <w:p>
      <w:r>
        <w:t>Insgesamt vermitteln die vom Beschwerdeführer geltend gemachten Vorbringen nicht den Eindruck einer zielgerichteten und asylrelevanten Verfolgung vor Ort. Hätten die srilankischen Behörden tatsächlich ein Interesse daran, den Beschwerdeführer zu verfolgen, wäre ihm eine unbehelligte Aus- respektive Einreise über den Flughafen C._______ im April 2010 kaum möglich gewesen. Des Weiteren widerspricht es der allgemei­nen Lebenserfahrung, dass eine effektiv verfolgte Person freiwillig in den Verfolgerstaat zurückkehrt. Schliesslich erfolgte auch die geltend gemachte Verfolgung durch Unbekannte in seiner Heimat alles andere als zielgerichtet, weshalb nicht davon auszugehen ist, dass die srilankischen Behörden ein ernsthaftes Interesse daran haben, den Beschwerdeführer dingfest zu machen. Die Furcht des Beschwerdeführers vor einer asylrelevanten Verfolgung ist somit unbegründet. An dieser Einschätzung vermögen auch die im vorinstanzlichen Verfahren zahlreich eingereichten Beweismittel nichts zu ändern, weshalb es sich erübrigt, näher auf diese einzugehen.</w:t>
      </w:r>
    </w:p>
    <w:p>
      <w:r>
        <w:rPr>
          <w:b/>
        </w:rPr>
        <w:t>E. 6.3</w:t>
      </w:r>
    </w:p>
    <w:p>
      <w:r>
        <w:t>Im Weiteren erweist sich das vom Beschwerdeführer vorgebrachte Ar­gument, er sei durch die Vorladung zur Anhörung in der Botschaft in Colombo gezwungen gewesen, von G._______ nach Sri Lanka zurückzukehren, aufgrund der Akten als nicht stichhaltig. Die Vorladung zum Interview durch die Botschaft in Colombo erfolgte in Unkenntnis darüber, dass der Beschwerdeführer in der Zwischenzeit nach F._______ ausgereist war. Aufgrund eines im vorinstanzlichen Dossier abgelegten Mailverkehrs ist festzustellen, dass die Botschaft in Colombo keineswegs den Beschwerdeführer zur Rückkehr nach Sri Lanka aufforderte, sondern lediglich festhielt, die Botschaft in Colombo sei für Personen in F._______ nicht zuständig, diese müssten sich an die dortige Schweizer Vertretung wenden. Das Argument der Vorinstanz, eine ohne zwingende Gründe erfolgte freiwillige Rückkehr in den angeblichen Verfolgerstaat stehe in Widerspruch zu einer Furcht vor Verfolgung, ist somit nicht entkräftet.</w:t>
      </w:r>
    </w:p>
    <w:p>
      <w:r>
        <w:rPr>
          <w:b/>
        </w:rPr>
        <w:t>E. 6.4</w:t>
      </w:r>
    </w:p>
    <w:p>
      <w:r>
        <w:t>Das Bundesverwaltungsgericht hat seinerzeit im Grundsatzurteil BVGE 2008/2 eine Lageanalyse betreffend Sri Lanka vorgenommen und gelangte dabei zwar zum Schluss, dass sich die allgemeine Sicher­heits­la­ge seit Januar 2006 insgesamt, insbesondere aber in Colombo, kontinuierlich verschlechtert habe. Seit Ergehen dieses Urteils am 14. Februar 2008 hatte sich der bewaffnete Konflikt zwischen der Re­gierung und den LTTE zunächst weiter zugespitzt. Nach der Rückeroberung des letzten von den LTTE kontrollierten Gebietes im Raum Mullaitivu indessen wurde am 18. Mai 2009 seitens der Regierung der endgültige Sieg über die LTTE verkündet und der Bürgerkrieg offiziell für beendet erklärt. Nach die­ser Niederlage der LTTE haben die srilankischen Behörden - na­mentlich im Grossraum Colombo - die Sicherheitsmassnahmen zwar nur schrittweise gelockert, und die verschiedenen Kontrollmassnahmen richteten sich vor allem gegen die tamilische Bevölkerung. Es kommt ihnen indes aufgrund mangelnder Intensität in der Regel kein Verfol­gungscharakter im Sinne von Art. 3 AsylG zu. Diese Praxis ist nunmehr im neueren und zur Publikation vorgesehenen Urteil BVGE E-6220/2006 vom 27. Oktober 2011 bestätigt und auch auf andere - für den hier vorliegenden Fall jedoch nicht relevanten Regionen - erweitert worden (vgl. a.a.O. E. 13.3). Der aktuelle beziehungsweise der den Asylbehörden zuletzt bekannte Wohnsitz des Beschwerdeführers ist im östlichen Teil von C._______ in H._______, wo er als ethnischer Singhalese nach Erkenntnissen des Gerichts nicht mit gezielten Repressionen zu rechnen hat. Er vermag mithin nicht substanziiert darzutun, inwiefern das BFM zu Unrecht geschlossen habe, er sei nicht schutzbedürftig im Sinne des AsylG.</w:t>
      </w:r>
    </w:p>
    <w:p>
      <w:r>
        <w:rPr>
          <w:b/>
        </w:rPr>
        <w:t>E. 7</w:t>
      </w:r>
    </w:p>
    <w:p>
      <w:r>
        <w:t>Zusammenfassend ist festzustellen, dass der Beschwerdeführer nicht schutzbedürftig im Sinne von Art. 3 AsylG ist. Aufgrund der vorstehenden Erwägungen erübrigt es sich, auf die weiteren Ausführungen und die im vorinstanzlichen Verfahren eingereichten Beweismittel einzugehen, da sie am festgestellten Ergebnis nichts zu ändern vermögen.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von Fr. 600.- an sich dem Beschwerdeführer aufzuerlegen (Art. 63 Abs. 1 VwVG); aus ver­waltungsökonomischen Gründen ist indessen in Anwendung von Art. 6 des Reglements vom 21. Februar 2008 über die Kosten und Entschädigungen vor dem Bundesverwaltungsgericht (VGKE, SR 173.320.2) auf das Erheben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