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D-5250/2021 vom 6. Oktober 2022</w:t>
      </w:r>
    </w:p>
    <w:p>
      <w:r>
        <w:t>Bundesverwaltungsgericht, 2022-10-06, FR</w:t>
      </w:r>
    </w:p>
    <w:p>
      <w:r>
        <w:rPr>
          <w:b/>
        </w:rPr>
        <w:t xml:space="preserve">Quelle: </w:t>
      </w:r>
      <w:r>
        <w:t>https://mcp.opencaselaw.ch/entscheid/bvger_D-5250_2021</w:t>
      </w:r>
    </w:p>
    <w:p>
      <w:r>
        <w:t>FR: TAF D-5250/2021 du 6 octobre 2022</w:t>
      </w:r>
    </w:p>
    <w:p>
      <w:r>
        <w:t>IT: TAF D-5250/2021 del 6 ottobre 2022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750 francs, sont supportés par A._______. Ce montant est intégralement couvert par l'avance de frais déjà versée par le recourant, en date du 3 février 2022.</w:t>
      </w:r>
    </w:p>
    <w:p>
      <w:r>
        <w:rPr>
          <w:b/>
        </w:rPr>
        <w:t>E. 3</w:t>
      </w:r>
    </w:p>
    <w:p>
      <w:r>
        <w:t>Dit arrêt est adressé au mandataire du recourant, au SEM ainsi qu'à l'autorité cantonale compétente. Le juge unique : Le greffier : Yanick Felley Christian Dubois Expédition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