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D-5244/2023 vom 8. November 2023</w:t>
      </w:r>
    </w:p>
    <w:p>
      <w:r>
        <w:t>Bundesverwaltungsgericht, 2023-11-08, FR</w:t>
      </w:r>
    </w:p>
    <w:p>
      <w:r>
        <w:rPr>
          <w:b/>
        </w:rPr>
        <w:t xml:space="preserve">Quelle: </w:t>
      </w:r>
      <w:r>
        <w:t>https://mcp.opencaselaw.ch/entscheid/bvger_D-5244_2023</w:t>
      </w:r>
    </w:p>
    <w:p>
      <w:r>
        <w:t>FR: TAF D-5244/2023 du 8 novembre 2023</w:t>
      </w:r>
    </w:p>
    <w:p>
      <w:r>
        <w:t>IT: TAF D-5244/2023 del 8 novembre 2023</w:t>
      </w:r>
    </w:p>
    <w:p>
      <w:pPr>
        <w:pStyle w:val="Heading2"/>
      </w:pPr>
      <w:r>
        <w:t>Regeste</w:t>
      </w:r>
    </w:p>
    <w:p>
      <w:r>
        <w:t>Consultation des pièces</w:t>
      </w:r>
    </w:p>
    <w:p>
      <w:pPr>
        <w:pStyle w:val="Heading2"/>
      </w:pPr>
      <w:r>
        <w:t>Erwägungen</w:t>
      </w:r>
    </w:p>
    <w:p>
      <w:r>
        <w:rPr>
          <w:b/>
        </w:rPr>
        <w:t>E. 1</w:t>
      </w:r>
    </w:p>
    <w:p>
      <w:r>
        <w:t>La demande de restitution de délai est rejetée.</w:t>
      </w:r>
    </w:p>
    <w:p>
      <w:r>
        <w:rPr>
          <w:b/>
        </w:rPr>
        <w:t>E. 2</w:t>
      </w:r>
    </w:p>
    <w:p>
      <w:r>
        <w:t>L'arrêt D-4589/2023 du 21 septembre 2023 déclarant irrecevable le recours du 25 août 2023 demeure en force.</w:t>
      </w:r>
    </w:p>
    <w:p>
      <w:r>
        <w:rPr>
          <w:b/>
        </w:rPr>
        <w:t>E. 3</w:t>
      </w:r>
    </w:p>
    <w:p>
      <w:r>
        <w:t>let. a du règlement du 21 février 2008 concernant les frais, dépens et indemnités fixés par le Tribunal administratif fédéral (FITAF, RS 173.320.2), qu'au vu des circonstances particulières du cas d'espèce, notamment du comportement fautif du CeSaM, les frais de procédure sont mis à sa charge (art. 66 al. 3 LTF en relation avec les art. 6 LAsi et 4 PA ; cf. arrêt du Tribunal E-4915/2017 du 19 septembre 2017 et réf. cit.),</w:t>
      </w:r>
    </w:p>
    <w:p>
      <w:r>
        <w:t>(dispositif : page suivante)</w:t>
      </w:r>
    </w:p>
    <w:p>
      <w:r>
        <w:t>D-5244/2023 Page 7 le Tribunal administratif fédéral prononce :</w:t>
      </w:r>
    </w:p>
    <w:p>
      <w:r>
        <w:rPr>
          <w:b/>
        </w:rPr>
        <w:t>E. 4</w:t>
      </w:r>
    </w:p>
    <w:p>
      <w:r>
        <w:t>Le présent arrêt est adressé au requérant, par l'intermédiaire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