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D-5240/2022 vom 9. November 2022</w:t>
      </w:r>
    </w:p>
    <w:p>
      <w:r>
        <w:t>Bundesverwaltungsgericht, 2022-11-09, DE</w:t>
      </w:r>
    </w:p>
    <w:p>
      <w:r>
        <w:rPr>
          <w:b/>
        </w:rPr>
        <w:t xml:space="preserve">Quelle: </w:t>
      </w:r>
      <w:r>
        <w:t>https://mcp.opencaselaw.ch/entscheid/bvger_D-5240_2022_d20221109</w:t>
      </w:r>
    </w:p>
    <w:p>
      <w:r>
        <w:t>FR: TAF D-5240/2022 du 9 novembre 2022</w:t>
      </w:r>
    </w:p>
    <w:p>
      <w:r>
        <w:t>IT: TAF D-5240/2022 del 9 novembre 2022</w:t>
      </w:r>
    </w:p>
    <w:p>
      <w:pPr>
        <w:pStyle w:val="Heading2"/>
      </w:pPr>
      <w:r>
        <w:t>Regeste</w:t>
      </w:r>
    </w:p>
    <w:p>
      <w:r>
        <w:t>Nichteintreten auf Asylgesuch und Wegweisung (Dublin-Verfahren - Art. 31a Abs. 1 Bst. b AsylG) | Nichteintreten auf Asylgesuch und Wegweisung (Dublin-Verfahren); Verfügung des SEM vom 9. November 2022</w:t>
      </w:r>
    </w:p>
    <w:p>
      <w:pPr>
        <w:pStyle w:val="Heading2"/>
      </w:pPr>
      <w:r>
        <w:t>Erwägungen</w:t>
      </w:r>
    </w:p>
    <w:p>
      <w:r>
        <w:rPr>
          <w:b/>
        </w:rPr>
        <w:t>E. 19</w:t>
      </w:r>
    </w:p>
    <w:p>
      <w:r>
        <w:t>September 2022 E. 5.4.2), dass auch davon ausgegangen werden darf, Italien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wieder aufzu-</w:t>
      </w:r>
    </w:p>
    <w:p>
      <w:r>
        <w:t>D-5240/2022 Seite 6 nehmen und seinen Antrag auf internationalen Schutz (inklusive seine Vor- bringen betreffend die Ermordung seines Bruders durch die Taliban) unter Einhaltung der Regeln der erwähnten Richtlinien zu prüfen, dass er im Dublin-Gespräch vom 27. Juni 2022 angab, ihm gehe es sowohl physisch als auch psychisch gut, wobei er wegen Allergien und Hals- schmerzen beim Arzt gewesen sei, dass der Beschwerdeführer gemäss Arztbericht vom 21. Juli 2022 unter juckendem Hautausschlag/Scabies litt, die Behandlung jedoch am 3. Au- gust 2022 abgeschlossen wurde, dass Italien über eine ausreichende medizinische Infrastruktur verfügt, um allfällige zukünftige physische und psychologische Beschwerden des Be- schwerdeführers angemessen zu behandeln, wobei keine Hinweise vorlie- gen, wonach Italien ihm eine adäquate medizinische Behandlung verwei- gern würde (vgl. Urteil des BVGer D-4651/2022 vom 20. Oktober 2022), dass somit auch sein Antrag, weiterhin medizinische Leistungen in der Schweiz zu erhalten, möglicherweise bezüglich seiner schmerzempfindli- chen Zähne (vgl. zahnmedizinischer Bericht vom 28. Juli 2022) – in einem Racheabstrich vom 25. August 2022 wurde Corynebacterium diphtheriae nicht nachgewiesen (vgl. Laborbericht vom 29. August 2022), ins Leere zielt, dass Mitgliedstaaten jedenfalls die erforderliche medizinische Versorgung, welche zumindest die Notversorgung und die unbedingt erforderliche Be- handlung von Krankheiten und psychischen Störungen umfasst, den An- tragsstellenden zugänglich machen müssen (vgl. 19 Abs. 1 und 2 Aufnah- merichtlinie), dass der Beschwerdeführer keine konkreten Hinweise für die Annahme dargetan hat, Italien würde ihm die minimalen Lebensbedingungen vorent- halten, und er nötigenfalls die ihm zustehenden Aufnahmebedingungen ebenfalls auf dem Rechtsweg einfordern könnte (vgl. Art. 26 Aufnahme- richtlinie), dass dem SEM bei der Anwendung von Art. 29a Abs. 3 AsylV 1 Ermessen zukommt (vgl. BVGE 2015/9 E. 7 f.) und den Akten keine Hinweise auf eine gesetzeswidrige Ermessensausübung (vgl. Art. 106 Abs. 1 Bst. a AsylG) durch die Vorinstanz zu entnehmen sind,</w:t>
      </w:r>
    </w:p>
    <w:p>
      <w:r>
        <w:t>D-5240/2022 Seite 7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so- wie auf Verzicht eines Kostenvorschusses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auch das Gesuch um amtliche Verbeiständung abzuweisen ist (vgl. Art. 102m Abs. 2 AsylG i.V.m. Art. 65 Abs. 2 VwVG),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D-5240/2022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