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D-5238/2009 vom 1. Oktober 2009</w:t>
      </w:r>
    </w:p>
    <w:p>
      <w:r>
        <w:t>Bundesverwaltungsgericht, 2009-10-01, DE</w:t>
      </w:r>
    </w:p>
    <w:p>
      <w:r>
        <w:rPr>
          <w:b/>
        </w:rPr>
        <w:t xml:space="preserve">Quelle: </w:t>
      </w:r>
      <w:r>
        <w:t>https://mcp.opencaselaw.ch/entscheid/bvger_D-5238_2009</w:t>
      </w:r>
    </w:p>
    <w:p>
      <w:r>
        <w:t>FR: TAF D-5238/2009 du 1 octobre 2009</w:t>
      </w:r>
    </w:p>
    <w:p>
      <w:r>
        <w:t>IT: TAF D-5238/2009 del 1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sowie Art. 52 VwVG; Art. 108 Abs. 1 AsylG).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gegen die Ziffern 4 und 5 der Verfügung der Vorinstanz vom 21. Juli 2009, zumal in der Beschwerde ausdrücklich nur die Anordnung der vorläufigen Aufnahme infolge Unzumutbarkeit des Wegweisungsvollzuges beantragt wurde. Die Ziffern 1, 2 und 3 der angefochtenen Verfügung (betreffend Flücht-lingseigenschaft, Asylgewährung und Anordnung der Wegweisung) sind somit in Rechtskraft erwachsen. Im Folgenden ist daher nur zu prüfen, ob die Vorinstanz den Vollzug der Wegweisung zu Recht angeordnet hat.</w:t>
      </w:r>
    </w:p>
    <w:p>
      <w:r>
        <w:rPr>
          <w:b/>
        </w:rPr>
        <w:t>E. 4</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Saadi gegen Italien, Urteil vom 28. Februar 2008, Beschwerde Nr. 37201/06, §§124-127, mit weiteren Hinweisen). Dies ist der Beschwerdeführerin indessen nicht gelungen. Auch die allgemeine Menschenrechtssituation im Heimatstaat lässt den Wegweisungsvollzug zum heutigen Zeitpunkt klarerweise nicht als unzulässig erscheinen. Die Beschwerdeführerin wurde nach eigenen Aussagen am E._______ geboren, was von der Vorinstanz nicht bezweifelt wurde. Nach dem massgeblichen schweizerischen Recht ist sie zum heutigen Zeitpunkt noch minderjährig, weil sie noch nicht 18 Jahre alt ist. Folglich unterliegt sie grundsätzlich den Normen der KRK. Art. 22 Abs. 2 KRK zielt darauf ab, durch Mitwirkung der Vertragsstaaten bei der Informationsbeschaffung die Familienzusammenführung zu fördern. Art. 22 KRK beschlägt indessen nur minderjährige Asylsuchende und Flüchtlinge, nicht aber ausländische Kinder, deren Asylgesuch wie in casu abgewiesen worden ist. Somit besteht keine völkerrechtliche Verpflichtung, im Vorfeld des Vollzugs der Wegweisung eines im Asylverfahren abgewiesenen Kindes Abklärungen über den Aufent-haltsort seiner Angehörigen vorzunehmen (vgl. EMARK 1998 Nr. 13 E. 5d.aa S. 95 f.). Das Kindeswohl gemäss Art. 3 KRK muss jedoch im Rahmen der Zumutbarkeitsprüfung von Art. 83 Abs. 4 AuG als gewichtiger Aspekt mitberücksichtigt werden (vgl. EMARK 1998 Nr. 13 E. 5e.aa S. 98 f.).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5.4.1</w:t>
      </w:r>
    </w:p>
    <w:p>
      <w:r>
        <w:t>In der Mongolei herrscht zur Zeit weder Krieg oder Bürgerkrieg, noch liegt eine Situation allgemeiner Gewalt vor, aufgrund derer die Bevölkerung als konkret gefährdet bezeichnet werden müsste. Der Vollzug der Wegweisung ist unter diesen Umständen nicht generell als unzumutbar zu bezeichnen.</w:t>
      </w:r>
    </w:p>
    <w:p>
      <w:r>
        <w:rPr>
          <w:b/>
        </w:rPr>
        <w:t>E. 5.4.2</w:t>
      </w:r>
    </w:p>
    <w:p>
      <w:r>
        <w:t>Der Wortlaut von Art. 83 Abs. 4 AuG bringt zum Ausdruck, dass aus humanitären Gründen, nicht in Erfüllung völkerrechtlicher Pflichten der Schweiz, auf den Vollzug der Wegweisung zu verzichten ist, wenn die Rückkehr in den Heimat- oder Herkunftsstaat für die betroffene Person eine konkrete Gefährdung bedeutet oder wenn andere Umstände vorliegen, die den Vollzug der Wegweisung als nicht zumutbar erscheinen lassen. Die Bestimmung lässt mithin Raum, bei der Beurteilung der Zumutbarkeit des Wegweisungsvollzuges auch Überlegungen einfliessen zu lassen, die sich unter dem Aspekt des nach Art. 3 Abs. 1 KRK zu beachtenden Kindeswohls ergeben können. Der Minderjährigkeit kommt eine zentrale Bedeutung zu, da nach weitehin gültiger Praxis (vgl. dazu von der ARK entwickelte Praxis in EMARK 1998 Nr. 13; Urteil des Bundesverwaltungsgerichts E-4429/2008 vom 1. September 2008) im Falle von unbegleiteten Minderjährigen das Kindeswohl im Rahmen der Prüfung der Zumutbarkeit des Wegweisungsvollzugs mitzuberücksichtigen ist, woraus sich gleichzeitig die Verpflichtung ergibt, von Amtes wegen die spezifisch mit der Minderjährigkeit verbundenen Aspekte des Wegweisungsvollzuges abzuklären.</w:t>
      </w:r>
    </w:p>
    <w:p>
      <w:r>
        <w:rPr>
          <w:b/>
        </w:rPr>
        <w:t>E. 5.4.3</w:t>
      </w:r>
    </w:p>
    <w:p>
      <w:r>
        <w:t>Für die Asylbehörden ergibt sich daraus die Verpflichtung, von Amtes wegen abzuklären, welche Situation sich für eine unbegleitete minderjährige Person im Fall einer Heimkehr realistischerweise ergeben könnte. In der Praxis ist deshalb nicht nur abzuklären, ob eine minderjährige Person im Fall der Rückkehr in den Heimat- oder Herkunftsstaat im Sinne von Art. 83 Abs. 4 AuG konkret gefährdet wäre, sondern auch, ob die minderjährige Person zu ihren Eltern oder anderen Angehörigen zurückgeführt werden kann und ob diese in der Lage wären, die altersgemässen Bedürfnisse der minderjährigen Person zu abzudecken (a.a.O., S. 111). Können die Angehörigen nicht ausfindig gemacht werden oder ergibt sich, dass die Rückkehr zu diesen dem Kindeswohl nicht entspricht, ist weiter abzuklären, ob die minderjährige Person in der Heimat allenfalls in einer geeigneten Anstalt oder bei Drittpersonen untergebracht werden kann. Dabei genügt es nicht, bloss festzustellen, dass im Heimat- oder Herkunfts-land Eltern oder andere Angehörige leben beziehungsweise es im betreffenden Land Einrichtungen gebe, die sich um alleinstehende Kinder oder Jugendliche kümmern würden. Es ist vielmehr konkret abzuklären, ob die betreffende minderjährige Person tatsächlich in ihr familiäres Umfeld zurückgeführt werden kann beziehungsweise ob sie - sollte das nicht möglich sein oder nicht dem Kindeswohl entsprechen - anderweitig untergebracht werden kann (vgl. die von der ARK entwickelte Praxis [EMARK 2006 Nr. 24, EMARK 2003 Nr. 5, EMARK 1998 Nr. 13], welche auch vom Bundesverwaltungsgericht weiterge-führt wird [Urteile des Bundesverwaltungsgerichts E-4429/2008 vom 1. September 2008 und E-5663/2006 vom 5. Juli 2007]).</w:t>
      </w:r>
    </w:p>
    <w:p>
      <w:r>
        <w:rPr>
          <w:b/>
        </w:rPr>
        <w:t>E. 5.4.4</w:t>
      </w:r>
    </w:p>
    <w:p>
      <w:r>
        <w:t>Das BFM hat daher im Hinblick auf die Anordnung des Vollzugs der Wegweisung vorgängig auch geeignete Massnahmen zu treffen, damit die minderjährige Person bei ihrer Rückkehr von ihren Angehöri-gen oder von einer Behörde beziehungsweise einer Institution, die in der Lage ist weiterzuhelfen, in Empfang genommen wird (vgl. in die-sem Sinn auch das Amt des Hohen Flüchtlingskommissars der Vereinten Nationen [UNHCR], Guidelines on Policies and Procedures in Dealing with Unaccompanied Children Seeking Asylum, Genf, Februar 1997, S. 11, N 9.4 sowie Gattiker a.a.O., S. 111), wo dies in Anbetracht des Alters der betroffenen Person und damit in ihrem Inter-esse erforderlich erscheint. Demgegenüber können die Rückreisemo-dalitäten (Begleitung der minderjährigen Person, Ort und Zeit der Übergabe nach der Ankunft im Heimatland etc.) erst im unmittelbaren Vorfeld der Rückkehr geregelt werden (vgl. EMARK 1998 Nr. 13 E. 5e.bb S. 100).</w:t>
      </w:r>
    </w:p>
    <w:p>
      <w:r>
        <w:rPr>
          <w:b/>
        </w:rPr>
        <w:t>E. 5.4.5</w:t>
      </w:r>
    </w:p>
    <w:p>
      <w:r>
        <w:t>Vorliegend steht - wie bereits erwähnt - fest, dass die Beschwerdeführerin als minderjährig gilt. Sie ist im heutigen Zeitpunkt noch nicht ganz F._______ Jahre alt.</w:t>
      </w:r>
    </w:p>
    <w:p>
      <w:r>
        <w:rPr>
          <w:b/>
        </w:rPr>
        <w:t>E. 5.4.6</w:t>
      </w:r>
    </w:p>
    <w:p>
      <w:r>
        <w:t>Aufgrund der Akten ergibt sich ferner, dass das BFM keine Abklärungen bezüglich der familiären Verhältnisse im Heimatland der Beschwerdeführerin vorgenommen hat. Seinen Entscheid hat es auf die Aussagen der Beschwerdeführerin abgestützt. Die Beschwerde-führerin, welche einen Geburtsschein zu den Akten reichte, hat zwar ihre Identität nicht rechtsgenüglich belegt. Mit der Vorinstanz ist auch übereinzustimmen, dass sie über ihr familiäres Umfeld nur wenige Angaben zu Protokoll gab. Insbesondere war ihr der vollständige Name ihrer Grossmutter, bei welcher sie aufgewachsen sein will, nicht bekannt und sie wusste auch die Adresse ihres Vaters nicht. Im Übrigen hat sie indessen immer die gleichen Angaben über ihre Angehörigen vorgebracht: Ihre Eltern seien seit Jahren geschieden, sie sei als eine der Zwillingsschwestern dem Vater zugesprochen worden und habe zu ihrer Mutter und ihrer Zwillingsschwester seit Jahren keinen Kontakt mehr. Ihr Vater habe wieder geheiratet, eine neue Familie gegründet und sich in den letzten Jahren ebenfalls nicht mehr um sie gekümmert. Unter diesen Umständen sei sie bei ihrer kranken Grossmutter aufgewachsen. Diese sei indessen an der früheren Adresse nicht mehr zu finden. Vor diesem Hintergrund bleibt die Frage nach einem tragfähigen Beziehungsnetz ungeklärt. Aufgrund der bestehenden Aktenlage ist davon auszugehen, dass die Beschwerdeführerin an ihrem früheren Wohnort in der Mongolei nicht über ein tragfähiges Beziehungsnetz verfügt. Ohne nähere Abklärun-gen vor Ort kann nicht festgestellt werden, ob der Vater der Beschwerdeführerin nicht doch bereit wäre, sein Kind in seiner Familie aufzunehmen oder ob die Grossmutter der Beschwerdeführerin ihren Wohnort aus gesundheitlichen Gründen verlassen musste und inzwi-schen wieder zurückgekehrt ist. Zwar ist es zutreffend, dass die Beschwerdeführerin nur marginale Angaben zum Beziehungsnetz gab; indessen darf nicht ausser Acht gelassen werden, dass bei Minder-jährigen generell weniger hohe Anforderungen an einen widerspruchsfreien beziehungsweise glaubhaften Sachvortrag gestellt werden dürften (vgl. EMARK 1999 Nr 2). Zudem überzeugt die Argumentation der Vorinstanz, wonach die Angaben der Beschwerde-führerin über den Aufenthaltsort ihrer Grossmutter und ihres Vaters als unbehelflich qualifiziert werden müssten, weil sie substanzlos ausgefallen seien, nicht, da die Vorinstanz weder begründete, woraus sich die Substanzlosigkeit ergibt, noch Ausführungen dazu machte, warum sie trotz der verminderten Anforderungen an die Glaub-haftigkeit von Aussagen Minderjähriger vorliegend vom Bestehen eines Beziehungsnetzes ausging. Mit den Feststellungen, die Beschwerde-führerin verfüge in ihrem Heimatland über ein Beziehungs-netz, weil die Grossmutter und der Vater dort lebten, ist das BFM seiner Pflicht zur Abklärung des relevanten Sachverhaltes nicht nachgekommen. Es kann nicht als gesichert gelten, dass der Vater oder die Grossmutter in der Lage sind, die nach wie vor minderjährige Beschwerdeführerin im Fall ihrer Rückkehr ins Heimat-land bei sich aufzunehmen. Die Vorinstanz ging sodann auch der Frage nicht nach, ob eine Institution im Heimatland die Beschwerde-führerin aufnehmen könnte und sie bis zur Erreichung der Volljährig-keit betreuen würde oder ihr bei der Weiterreise zu allfälligen weiteren Verwandten behilflich wäre, obwohl die Unterbringung in einer geeigneten Einrichtung für minderjährige Personen in der Mongolei angesichts der dürftigen Angaben der Beschwerdeführerin über ihr Beziehungsnetz eine valable Alternative darstellen könnte. Damit hat das BFM den rechtserheblichen Sachverhalt unvollständig festgestellt und den zuvor formulierten Anforderungen für die Rückführung minderjähriger Asylsuchender nicht genügt (vgl. Ziff. 5.4.4).</w:t>
      </w:r>
    </w:p>
    <w:p>
      <w:r>
        <w:rPr>
          <w:b/>
        </w:rPr>
        <w:t>E. 5.5</w:t>
      </w:r>
    </w:p>
    <w:p>
      <w:r>
        <w:t>Beschwerden gegen Verfügungen des BFM über die Verweigerung des Asyls und die Wegweisung haben grundsätzlich reformatorischen und nur ausnahmsweise kassatorischen Charakter (Art. 105 Abs. 1 und Art. 6 AsylG i.V.m. Art. 61 Abs. 1 VwVG). Reformatorische Entscheidungen setzen indessen Entscheidungsreife voraus, wobei insbesondere eine genügende Abklärung des rechtserheblichen Sach-verhaltes darunter fällt. Vorliegend fehlt diese bezüglich der Zumutbar-keit des Wegweisungsvollzugs, da die notwendigen Abklärungen vor Ort von der Vorinstanz nicht durchgeführt wurden. Unter diesen Umständen ist die angefochtene Verfügung - soweit sie nicht in Rechtskraft erwachsen ist - aufzuheben und die Sache zur Neubeur-teilung im Sinne der Erwägungen an die Vorinstanz zurückzuweisen. Das BFM hat die Beschwerdeführerin vorläufig aufzunehmen oder aufgrund von Abklärungen im Heimatland im Sinne obenstehender Erwägungen aufzuzeigen, inwiefern die Zumutbarkeit des Wegweisungsvollzugs zu bejahen ist.</w:t>
      </w:r>
    </w:p>
    <w:p>
      <w:r>
        <w:rPr>
          <w:b/>
        </w:rPr>
        <w:t>E. 6</w:t>
      </w:r>
    </w:p>
    <w:p>
      <w:r>
        <w:t>Nach dem Gesagten ist die Beschwerde im Sinne der Erwägungen gutzuheissen. Bei diesem Ausgang des Verfahrens sind keine Kosten zu erheben (Art. 63 Abs. 1 VwVG).</w:t>
      </w:r>
    </w:p>
    <w:p>
      <w:r>
        <w:rPr>
          <w:b/>
        </w:rPr>
        <w:t>E. 7</w:t>
      </w:r>
    </w:p>
    <w:p>
      <w:r>
        <w:t>Schliesslich ist der Beschwerdeführerin in Anwendung von Art. 64 VwVG und Art. 7 ff. des Reglements vom 21. Februar 2008 über die Kosten und Entschädigungen vor dem Bundesverwaltungsgericht (VGKE, SR 173.320.2) eine Entschädigung für die ihr notwendiger-weise entstandenen Parteikosten zuzusprechen. Die Rechtsvertretung der Beschwerdeführerin reichte mit der Beschwerde eine Kostennote in der Höhe von Fr. 750.-- ein, welche angesichts des Aktenumfangs als angemessen erscheint. Das BFM hat der Beschwerdeführerin demnach eine Parteientschädigung in dieser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