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D-5238/2007 vom 3. Februar 2010</w:t>
      </w:r>
    </w:p>
    <w:p>
      <w:r>
        <w:t>Bundesverwaltungsgericht, 2010-02-03, FR</w:t>
      </w:r>
    </w:p>
    <w:p>
      <w:r>
        <w:rPr>
          <w:b/>
        </w:rPr>
        <w:t xml:space="preserve">Quelle: </w:t>
      </w:r>
      <w:r>
        <w:t>https://mcp.opencaselaw.ch/entscheid/bvger_D-5238_2007</w:t>
      </w:r>
    </w:p>
    <w:p>
      <w:r>
        <w:t>FR: TAF D-5238/2007 du 3 février 2010</w:t>
      </w:r>
    </w:p>
    <w:p>
      <w:r>
        <w:t>IT: TAF D-5238/2007 del 3 febbraio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LAsi et 83 let. d ch. 1 de la loi fédérale du 17 juin 2005 sur le Tribunal fédéral (LTF, RS 173.110).</w:t>
      </w:r>
    </w:p>
    <w:p>
      <w:r>
        <w:rPr>
          <w:b/>
        </w:rPr>
        <w:t>E. 1.2</w:t>
      </w:r>
    </w:p>
    <w:p>
      <w:r>
        <w:t>Le recourant a qualité pour recourir (cf. art. 48 al. 1 let. a à c PA). Présenté dans la forme et les délais prescrits par la loi, le recours est recevable (cf. art. 50 et 52 PA).</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3.1</w:t>
      </w:r>
    </w:p>
    <w:p>
      <w:r>
        <w:t>En l'espèce, le recourant affirme craindre de subir des préjudices dans son pays, dans la mesure où une famille opposée à la sienne chercherait à venger la mort d'un des ses membres en l'éliminant. Les craintes de persécutions ainsi invoquées ne sont fondées ni sur la race de l'intéressé ni sur sa religion ni sur sa nationalité ni sur son appartenance à un groupe social déterminé ni sur ses opinions politiques. Partant, elles ne sont pas pertinentes pour la reconnaissance de la qualité de réfugié (cf. art. 3 al. 1 LAsi). Cette conclusion s'impose indépendamment des questions ayant trait au bien fondé des craintes émises et de la protection que les autorités kurdes d'Irak seraient en mesure ou non d'apporter au recourant, questions qu'il convient d'analyser dans le cadre de l'examen touchant le caractère licite de l'exécution du renvoi.</w:t>
      </w:r>
    </w:p>
    <w:p>
      <w:r>
        <w:rPr>
          <w:b/>
        </w:rPr>
        <w:t>E. 3.2</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A défaut, l'autorité prononce l'admission provisoire,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6.3.1</w:t>
      </w:r>
    </w:p>
    <w:p>
      <w:r>
        <w:t>En l'occurrence, le recourant a fait valoir qu'il craignait pour sa vie en cas de renvoi dans son pays d'origine, dans la mesure où, accusé d'avoir tué une personne, il était l'objet de la vindicte de la famille de celle-ci, famille soutenue par les autorités.</w:t>
      </w:r>
    </w:p>
    <w:p>
      <w:r>
        <w:rPr>
          <w:b/>
        </w:rPr>
        <w:t>E. 6.3.2</w:t>
      </w:r>
    </w:p>
    <w:p>
      <w:r>
        <w:t>Durant ces dernières années, la situation dans le nord de l'Irak a considérablement évolué. Les trois provinces kurdes de cette partie du pays connaissent notamment un calme et une stabilité qui n'ont pas été constatés dans les autres provinces. Les forces de l'ordre et les autorités judiciaires y ont en principe la capacité et la volonté de protéger leurs habitants contre des persécutions. Des réserves s'imposent toutefois dans ce constat, notamment pour les personnes qui émettent des critiques à l'encontre des deux partis politiques majoritaires ou qui s'opposent au gouvernement kurde, dûment reconnu. Des réserves se justifient également en ce qui concerne l'efficacité de la protection des personnes persécutées par des personnes privées (cf. ATAF 2008/4 consid. 6 p. 40 ss).</w:t>
      </w:r>
    </w:p>
    <w:p>
      <w:r>
        <w:rPr>
          <w:b/>
        </w:rPr>
        <w:t>E. 6.3.3</w:t>
      </w:r>
    </w:p>
    <w:p>
      <w:r>
        <w:t>A admettre la réalité des faits rapportés, l'intéressé se trouverait dans le dernier cas de figure précité. Ses déclarations semblent en effet démontrer qu'il serait victime d'une vengeance privée, une sorte de vendetta. La question d'une forme de réparation autre que son élimination, selon des règles coutumières, n'entrerait pas en considération pour ses poursuivants, lesquels se seraient simplement refusés à conclure un quelconque accord. A._______ n'a d'ailleurs aucunement étayé ses affirmations à ce sujet, alors qu'il aurait pu et dû le faire. Il s'agirait ainsi d'un véritable règlement de compte. Dans ce contexte, on ne saurait ignorer les circonstances du conflit et les constats qui s'imposent. Force est d'admettre qu'en définitive, objectivement et de manière flagrante, personne ne pouvait de bonne foi reprocher à A._______, d'une part, d'avoir entretenu une relation amoureuse avec la soeur de B._______ et, d'autre part, d'être impliqué dans le décès de celui-ci. L'intéressé a d'ailleurs allégué qu'il lui était aisé de se disculper d'une éventuelle accusation de meurtre, déclarant que "tout le monde savait qu'il n'était pas la cause de ce drame". Il a en outre exposé que la police n'avait même pas mené d'enquête. Il lui appartenait dès lors de requérir la protection des autorités locales, dont la composition lui était personnellement connue. Confrontées à des évidences notoires, ces autorités n'auraient pu que trancher en sa faveur, malgré l'entêtement et le caractère primitif des comportement de C._______, frère du défunt. Elles n'auraient en outre certainement pas pris le risque, au grand jour, de couvrir d'impunité le crime injuste que s'apprêtait à commettre celui-là en éliminant le recourant. A._______ n'en a pas moins contesté la possibilité d'échapper à la vindicte de son poursuivant. Ses déclarations à ce sujet, fluctuantes et évolutives, ne sont cependant pas convaincantes. Lors de sa première audition, l'intéressé a mis en avant le fait que C._______ était un peshmerga, sans scrupules, têtu, brutal, se sentant tout puissant dans son village (cf. pv de l'audition du 4 août 2008, p. 5). Lors de sa seconde audition, il a rappelé le caractère violent et entêté de son adversaire, mais n'a plus fait référence à sa prétendue fonction de peshmerga, fait pourtant essentiel et déterminant. Dans son recours, il a apporté de nouvelles explications. Il a affirmé en effet que B._______ était soldat, raison pour laquelle les autorités étaient prêtes à soutenir la démarche de la famille de celui-ci. Si A._______ avait réellement craint de ne pouvoir défendre ses droits en Irak, il en aurait à n'en pas douter fourni d'emblée l'ensemble des raisons et aurait été à même de les exposer avec constance ensuite, ce qu'il n'a manifestement pas fait. Dans son recours, A._______ a allégué de surcroît qu'une procédure judiciaire avait été ouverte contre lui après son départ du pays. Le Tribunal ne considère pas cette allégation comme crédible. Il sied en effet de rappeler que l'innocence de l'intéressé était évidente. Si, malgré cela, les autorités avaient souhaité mener enquête, sous la pression de la famille de [nom de famille du défunt] ou non, elles n'auraient pas attendu plusieurs mois pour le faire. Enfin, le mandat d'arrêt produit, censé attester de la réalité de la procédure judiciaire, est entaché d'irrégularités et ne saurait se voir accorder de valeur probante. Un tel document est en effet par principe destiné et adressé aux forces de l'ordre, constituant un document interne à l'administration judiciaire et policière. Il n'y a donc aucun sens à ce que cette pièce ait été expédiée, qui plus est sous une forme originale, aux parents de A._______. Ensuite, certaines données essentielles devant figurer sur le mandat, en vertu du code de procédure pénal irakien, mais également en suivant une simple logique, font défaut. On relèvera notamment l'absence de certains renseignements permettant d'identifier l'intéressé et la désignation pour le moins imprécise des motifs pour lesquels l'arrestation est ordonnée. Partant, ce mandat d'arrêt doit être confisqué (cf. art. 10 al. 4 LAsi).</w:t>
      </w:r>
    </w:p>
    <w:p>
      <w:r>
        <w:rPr>
          <w:b/>
        </w:rPr>
        <w:t>E. 6.4</w:t>
      </w:r>
    </w:p>
    <w:p>
      <w:r>
        <w:t>Au vu de ce qui précède, les risques de préjudices évoqués par le recourant n'atteignent pas le degré de probabilité exigé. Dès lors, l'exécution du renvoi de celui-ci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appartient à la communauté kurde musulmane et qu'il provient de la province de Suleimaniya, où il a vécu jusqu'à son départ. Il est en outre jeune, célibataire, sans problèmes de santé graves allégués et dispose sur place d'un réseau familial et assurément d'un réseau social sur lesquels il pourra compter à son retour (cf. pv. de l'audition du 4 août 2006, p. 3).</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