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D-5218/2010 vom 15. November 2012</w:t>
      </w:r>
    </w:p>
    <w:p>
      <w:r>
        <w:t>Bundesverwaltungsgericht, 2012-11-15, DE</w:t>
      </w:r>
    </w:p>
    <w:p>
      <w:r>
        <w:rPr>
          <w:b/>
        </w:rPr>
        <w:t xml:space="preserve">Quelle: </w:t>
      </w:r>
      <w:r>
        <w:t>https://mcp.opencaselaw.ch/entscheid/bvger_D-5218_2010</w:t>
      </w:r>
    </w:p>
    <w:p>
      <w:r>
        <w:t>FR: TAF D-5218/2010 du 15 novembre 2012</w:t>
      </w:r>
    </w:p>
    <w:p>
      <w:r>
        <w:t>IT: TAF D-5218/2010 del 15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Der Beschwerdeführer heiratete am 1. September 2010 B._______, die am 14. Januar 2009 unabhängig vom Beschwerdeführer in der Schweiz ein Asylgesuch eingereicht hatte. Ihr Asylgesuch wurde mit Verfügung des BFM vom 17. Juni 2010 im Asylpunkt abgewiesen. Gleichzeitig ordnete das BFM jedoch die vorläufige Aufnahme an. Diese Verfügung wurde mit Beschwerde vom 22. Juli 2010 beim Bundesverwaltungsgericht im Asylpunkt angefochten. Mit Urteil E-5314/2010 vom 3. August 2010 hiess das Bundesverwaltungsgericht diese Beschwerde gut, hob die Verfügung im Asylpunkt auf und wies die Sache zur erneuten Beurteilung an das BFM zurück. Seither ist das Asylverfahren betreffend die Ehefrau beim BFM hängig.</w:t>
      </w:r>
    </w:p>
    <w:p>
      <w:r>
        <w:rPr>
          <w:b/>
        </w:rPr>
        <w:t>E. 4.2</w:t>
      </w:r>
    </w:p>
    <w:p>
      <w:r>
        <w:t>Heiraten zwei Asylsuchende in der Schweiz, die unabhängig voneinander ein Asylgesuch eingereicht haben, so kann die Frage der Flüchtlingseigenschaft des einen nicht losgelöst von derjenigen des anderen Ehegatten beurteilt werden. Ist - wie im vorliegenden Fall - eine Beschwerde des Ehegatten beim Bundesverwaltungsgericht hängig, während betreffend die Ehegattin ein Asylverfahren beim BFM in erster Instanz behandelt wird, so hat gemäss Entscheidungen und Mitteilungen der Schweizerischen Asylrekurskommission [EMARK] 1999 Nr. 1 das Bundesverwaltungsgericht sein Verfahren zu sistieren, es sei denn, das BFM habe sein Verfahren auf unbestimmte Zeit sistiert. In letzterem Fall ist demgegenüber keine Sistierung des bundesverwaltungsgerichtlichen Verfahrens, sondern vielmehr eine Rückweisung der Sache an die Vorinstanz angezeigt (vgl. EMARK 1999 Nr. 1 E. 2a - e).</w:t>
      </w:r>
    </w:p>
    <w:p>
      <w:r>
        <w:rPr>
          <w:b/>
        </w:rPr>
        <w:t>E. 4.3</w:t>
      </w:r>
    </w:p>
    <w:p>
      <w:r>
        <w:t>Da aufgrund der Prioritätenordnung des BFM nicht absehbar ist, wann der erstinstanzliche Entscheid betreffend das Asylgesuch der Ehefrau ergehen wird, kann das diesbezügliche Verfahren als faktisch auf unbestimmte Zeit sistiert gelten. In Anwendung der soeben beschriebenen Grundsätze ist die beim Bundesverwaltungsgericht hängige Streitsache daher an die Vorinstanz zurückzuweisen. Somit ist die vorliegende Beschwerde gutzuheissen, die Verfügung des BFM vom 17. Juni 2010 aufzuheben und das Verfahren zur Neubeurteilung in Koordination mit dem Verfahren betreffend die Ehefrau an die Vorinstanz zurückzuweisen.</w:t>
      </w:r>
    </w:p>
    <w:p>
      <w:r>
        <w:rPr>
          <w:b/>
        </w:rPr>
        <w:t>E. 5</w:t>
      </w:r>
    </w:p>
    <w:p>
      <w:r>
        <w:t>Bei diesem Ausgang des Verfahrens sind keine Verfahrenskosten auf­zuerlegen (Art. 63 Abs. 1 und 2 VwVG).</w:t>
      </w:r>
    </w:p>
    <w:p>
      <w:r>
        <w:rPr>
          <w:b/>
        </w:rPr>
        <w:t>E. 6</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(vgl. Art. 14 Abs. 2 VGKE). Die von der Vorins­tanz zu entrichtende Parteient­schädigung ist von Amtes we­gen und in Berück­sichtigung der massgeblichen Be­mes­sungsfaktoren (vgl. Art. 8 ff. VGKE) auf Fr. 1'375.-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