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D-5217/2022 vom 21. November 2022</w:t>
      </w:r>
    </w:p>
    <w:p>
      <w:r>
        <w:t>Bundesverwaltungsgericht, 2022-11-21, DE</w:t>
      </w:r>
    </w:p>
    <w:p>
      <w:r>
        <w:rPr>
          <w:b/>
        </w:rPr>
        <w:t xml:space="preserve">Quelle: </w:t>
      </w:r>
      <w:r>
        <w:t>https://mcp.opencaselaw.ch/entscheid/bvger_D-5217_2022</w:t>
      </w:r>
    </w:p>
    <w:p>
      <w:r>
        <w:t>FR: TAF D-5217/2022 du 21 novembre 2022</w:t>
      </w:r>
    </w:p>
    <w:p>
      <w:r>
        <w:t>IT: TAF D-5217/2022 del 21 novembre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Parteieingaben vor den Behörden des Bundes sind grundsätzlich in einer schweizerischen Amtssprache abzufassen (Art. 70 Abs. 1 BV und Art. 33a Abs. 1 VwVG). Indes wird aus prozessökonomischen Gründen auf eine Rückweisung der englischsprachigen Beschwerdeeingabe verzichtet, zumal diese grundsätzlich verständlich ist. Der vorliegende Entscheid ergeht in deutscher Sprache (Art. 33a Abs. 2 VwVG i.V.m. Art. 6 AsylG).</w:t>
      </w:r>
    </w:p>
    <w:p>
      <w:r>
        <w:rPr>
          <w:b/>
        </w:rPr>
        <w:t>E. 1.3</w:t>
      </w:r>
    </w:p>
    <w:p>
      <w:r>
        <w:t>Die Beschwerde ist fristgerecht eingereicht worden. Sie enthält zudem Rechtsbegehren, die Unterschrift des Beschwerdeführers sowie eine - wenn auch nur rudimentäre - Begründung. Da an eine Laienbeschwerde keine hohen formellen Anforderungen zu stellen sind, ist die Eingabe - mit Ausnahme der Einreichung der Beschwerde nicht in einer Amtssprache - als formgerecht zu qualifizieren.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sowie Art. 52 Abs. 1 VwVG). Auf die Beschwerde ist einzutreten.</w:t>
      </w:r>
    </w:p>
    <w:p>
      <w:r>
        <w:rPr>
          <w:b/>
        </w:rPr>
        <w:t>E. 1.4</w:t>
      </w:r>
    </w:p>
    <w:p>
      <w:r>
        <w:t>Der Beschwerde kommt von Gesetzes wegen aufschiebende Wirkung zu (Art. 55 Abs. 1 VwVG) und das SEM hat der Beschwerde die aufschiebende Wirkung nicht entzogen (Art. 55 Abs. 2 VwVG). Auf das Gesuch, der Beschwerde sei aufschiebende Wirkung zu erteilen,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Die vorliegende Beschwerde erweist sich - wie nachfolgend aufgezeigt - als offensichtlich unbegründet und ist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5</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5.1</w:t>
      </w:r>
    </w:p>
    <w:p>
      <w:r>
        <w:t>Das SEM stellt in der angefochtenen Verfügung fest, dass Schweden ein sicherer Drittstaat im Sinne von Art. 6a Abs. 2 Bst. b AsylG sei, der Beschwerdeführer dort als Flüchtling anerkannt sei und Schweden sich am 30. September 2022 bereit erklärt habe, ihn zurückzunehmen. Weiter führt die Vorinstanz aus, gemäss Art. 25 Abs. 2 VwVG sei einem Begehren um Feststellung der Flüchtlingseigenschaft in der Schweiz nur dann zu entsprechen, wenn ein schutzwürdiges Interesse nachgewiesen werde. Dieser Nachweis könne aber nicht gelingen, wenn bereits ein Drittstaat die Flüchtlingseigenschaft festgestellt und ihm Schutz vor Verfolgung gewährt habe, was vorliegend der Fall sei. Er könne nach Schweden zurückkehren, ohne eine Rückschiebung in Verletzung des Non-Refoulement-Prinzips zu befürchten. Auf sein Asylgesuch werde somit nicht eingetreten. Sodann sei der Vollzug der Wegweisung zulässig, zumutbar und möglich. Hinsichtlich der vom Beschwerdeführer geltend gemachten Bedrohung durch Drittpersonen sei festzuhalten, dass Schweden ein Rechtsstaat mit einer funktionierenden, schutzwilligen und -fähigen Polizeibehörde sei und er sich bei einer Furcht vor Übergriffen an die zuständigen staatlichen Stellen wenden könne. Die Schilderungen des Beschwerdeführers betreffend angeblich verweigertem Schutz durch die schwedische Polizei hätten sodann keine konkreten Hinweise für eine gegenteilige Annahme enthalten. Schweden habe ausserdem die Richtlinie 2011/95/EU des europäischen Parlaments und des Rates vom 13. Dezember 2011 (Qualifikationsrichtlinie) umgesetzt. Entsprechend können sich Personen mit Schutzstatus darauf berufen und diese nötigenfalls auch gerichtlich einfordern. Auch könne er sich jederzeit an private und internationale Organisationen wenden. Hinsichtlich seines Gesundheitszustandes sei festzuhalten, dass der medizinische Sachverhalt vorliegend als ausreichend erstellt erachtet werde, um eine Zulässigkeit und Zumutbarkeit der Überstellung nach Schweden beurteilen zu können. Eine drohende Verletzung von Art. 3 EMRK aufgrund der geschilderten gesundheitlichen Beeinträchtigungen sei nicht anzunehmen. Ebenfalls könne ausgeschlossen werden, dass eine medizinische Notlage bestehe und sich sein Gesundheitszustand bei einer Rückkehr nach Schweden drastisch verschlechtern würde. Schweden verfüge zudem über eine ausreichende medizinische Infrastruktur.</w:t>
      </w:r>
    </w:p>
    <w:p>
      <w:r>
        <w:rPr>
          <w:b/>
        </w:rPr>
        <w:t>E. 5.2</w:t>
      </w:r>
    </w:p>
    <w:p>
      <w:r>
        <w:t>Der Beschwerdeführer hält dem in seiner Rechtsmitteleingabe sinngemäss entgegen, sein Leben sei in Schweden in Gefahr. Er habe auf der Strasse gelebt, weil er sich gefürchtet habe, in seinem Zuhause aufgesucht zu werden. Er habe versucht, in eine andere Stadt zu ziehen, das nütze jedoch nichts. Er werde trotzdem gefunden und habe dann wieder die gleichen Probleme. Er sei von einer Gruppe von schlechten Menschen ausgenutzt und gezwungen worden, Dinge zu tun, die er nicht habe tun wollen. Diese würden ihn weiterhin wie einen Sklaven behandeln wollen, weshalb er nicht nach Schweden zurückkehren wolle.</w:t>
      </w:r>
    </w:p>
    <w:p>
      <w:r>
        <w:rPr>
          <w:b/>
        </w:rPr>
        <w:t>E. 5.3</w:t>
      </w:r>
    </w:p>
    <w:p>
      <w:r>
        <w:t>Das SEM hat seinen Nichteintretensentscheid zutreffend damit begründet, dass der Beschwerdeführer nach Schweden und damit in einen sicheren Drittstaat gemäss Art. 6a Abs. 2 Bst. b AsylG zurückkehren kann, wo er sich vorher aufgehalten hat und als Flüchtling anerkannt worden ist. Mit der Feststellung der Flüchtlingseigenschaft und der Erteilung einer (verlängerbaren) Aufenthaltsbewilligung haben die schwedischen Behörden dem Beschwerdeführer Schutz vor Verfolgung gewährt, so dass er nach Schweden zurückkehren kann, ohne eine Rückschiebung in Verletzung des Non-Refoulement-Gebotes befürchten zu müssen. Der Beschwerdeführer hat denn auch weder im erstinstanzlichen Verfahren noch auf Beschwerdeebene vorgebracht, es würde ihm in Schweden eine Rückschiebung in seinen Heimatstaat unter Verletzung des Refoulement-Verbots drohen. Die schwedischen Behörden haben sich am 30. September 2022 bereit erklärt, den Beschwerdeführer zurückzunehmen. Das SEM hat demzufolge zu Recht ein schutzwürdiges Interesse des Beschwerdeführers an der Feststellung der Flüchtlingseigenschaft in der Schweiz verneint und ist gestützt auf Art. 31a Abs. 1 Bst. a AsylG zu Recht auf das Asylgesuch nicht eingetreten.</w:t>
      </w:r>
    </w:p>
    <w:p>
      <w:r>
        <w:rPr>
          <w:b/>
        </w:rPr>
        <w:t>E. 6</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Die Wegweisung wurde somit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Schweden einer Prüfung zu unterziehen, nicht aber ein solcher in den Heimat- oder Herkunftsstaat des Beschwerdeführenden.</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7.3</w:t>
      </w:r>
    </w:p>
    <w:p>
      <w:r>
        <w:t>Gemäss Art. 6a AsylG besteht zugunsten sicherer Drittstaaten die Vermutung, dass sie ihre völkerrechtlichen Verpflichtungen einhalten. Gestützt auf Art. 83 Abs. 5 AIG besteht ferner die Vermutung, dass eine Wegweisung in einen EU- oder EFTA-Staat in der Regel zumutbar ist (vgl. Anhang 2 der Verordnung über den Vollzug der Weg- und Ausweisung sowie der Landesverweisung von ausländischen Personen [VVWAL, SR 142.281]).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7.4</w:t>
      </w:r>
    </w:p>
    <w:p>
      <w:r>
        <w:t>Das SEM hat die Vorbringen des Beschwerdeführers in der angefochtenen Verfügung ausführlich gewürdigt und zutreffend dargelegt, weshalb seine Überstellung nach Schweden völkerrechtlich zulässig und zumutbar ist. Zwecks Vermeidung von Wiederholungen kann vollumfänglich auf die entsprechenden Ausführungen in der angefochtenen Verfügung und die vorstehende Erwägung 5.1 verwiesen werden. Der Beschwerdeführer beschränkt sich in seiner Eingabe vom 15. November 2022 darauf, seine im vorinstanzlichen Verfahren geltend gemachten Vorbringen in zusammengefasster und vager Form zu wiederholen (vgl. E. 5.2). Damit gelingt es ihm nicht, die in Art. 6a AsylG und Art. 83 Abs. 5 AIG enthaltenen Legalvermutungen umzustossen. Der Vollzug der Wegweisung erweist sich demnach als zulässig und zumutbar.</w:t>
      </w:r>
    </w:p>
    <w:p>
      <w:r>
        <w:rPr>
          <w:b/>
        </w:rPr>
        <w:t>E. 7.5</w:t>
      </w:r>
    </w:p>
    <w:p>
      <w:r>
        <w:t>Nach dem Gesagten ist es dem Beschwerdeführer nicht gelungen, die Vermutung, dass Schweden seinen völkerrechtlichen Verpflichtungen nachkommt und eine Wegweisung in diesen Staat auch zumutbar ist, umzustossen. Da die schwedischen Behörden ihrer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8</w:t>
      </w:r>
    </w:p>
    <w:p>
      <w:r>
        <w:t>Aus diesen Erwägungen ergibt sich, dass die angefochtene Verfügung Bundesrecht nicht verletzt und auch sonst nicht zu beanstanden ist (Art. 106 Abs. 1 AsylG). Die Beschwerde ist abzuweisen, soweit auf diese einzutreten ist.</w:t>
      </w:r>
    </w:p>
    <w:p>
      <w:r>
        <w:rPr>
          <w:b/>
        </w:rPr>
        <w:t>E. 9.1</w:t>
      </w:r>
    </w:p>
    <w:p>
      <w:r>
        <w:t>Mit dem vorliegenden Urteil wird das Gesuch um Verzicht auf die Erhebung eines Kostenvorschusses gegenstandslos.</w:t>
      </w:r>
    </w:p>
    <w:p>
      <w:r>
        <w:rPr>
          <w:b/>
        </w:rPr>
        <w:t>E. 9.2</w:t>
      </w:r>
    </w:p>
    <w:p>
      <w:r>
        <w:t>Das Gesuch um Gewährung der unentgeltlichen Prozessführung im Sinne von Art. 65 Abs. 1 VwVG ist abzuweisen, da die Begehren - wie sich aus den vorstehenden Erwägungen ergibt - als aussichtslos zu bezeichnen sind.</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