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D-5216/2011 vom 4. November 2011</w:t>
      </w:r>
    </w:p>
    <w:p>
      <w:r>
        <w:t>Bundesverwaltungsgericht, 2011-11-04, DE</w:t>
      </w:r>
    </w:p>
    <w:p>
      <w:r>
        <w:rPr>
          <w:b/>
        </w:rPr>
        <w:t xml:space="preserve">Quelle: </w:t>
      </w:r>
      <w:r>
        <w:t>https://mcp.opencaselaw.ch/entscheid/bvger_D-5216_2011</w:t>
      </w:r>
    </w:p>
    <w:p>
      <w:r>
        <w:t>FR: TAF D-5216/2011 du 4 novembre 2011</w:t>
      </w:r>
    </w:p>
    <w:p>
      <w:r>
        <w:t>IT: TAF D-5216/2011 del 4 novembre 2011</w:t>
      </w:r>
    </w:p>
    <w:p>
      <w:pPr>
        <w:pStyle w:val="Heading2"/>
      </w:pPr>
      <w:r>
        <w:t>Regeste</w:t>
      </w:r>
    </w:p>
    <w:p>
      <w:r>
        <w:t>Nichteintreten auf Asylgesuch (Verletzung Mitwirkungspflicht)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im Sinne der Erwägungen gutgeheissen.</w:t>
      </w:r>
    </w:p>
    <w:p>
      <w:r>
        <w:rPr>
          <w:b/>
        </w:rPr>
        <w:t>E. 2</w:t>
      </w:r>
    </w:p>
    <w:p>
      <w:r>
        <w:t>Die vorinstanzliche Verfügung vom 5. September 2011 wird aufgehoben. Das BFM wird angewiesen, das Asylverfahren des Beschwerdeführers wie­deraufzunehmen.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Es wird keine Parteientschädigung entrichtet.</w:t>
      </w:r>
    </w:p>
    <w:p>
      <w:r>
        <w:rPr>
          <w:b/>
        </w:rPr>
        <w:t>E. 5</w:t>
      </w:r>
    </w:p>
    <w:p>
      <w:r>
        <w:t>Dieses Urteil geht an den Beschwerdeführer, das BFM und die zustän­dige kantonale Behörde.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