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D-5214/2015 vom 4. Januar 2017</w:t>
      </w:r>
    </w:p>
    <w:p>
      <w:r>
        <w:t>Bundesverwaltungsgericht, 2017-01-04, DE</w:t>
      </w:r>
    </w:p>
    <w:p>
      <w:r>
        <w:rPr>
          <w:b/>
        </w:rPr>
        <w:t xml:space="preserve">Quelle: </w:t>
      </w:r>
      <w:r>
        <w:t>https://mcp.opencaselaw.ch/entscheid/bvger_D-5214_2015</w:t>
      </w:r>
    </w:p>
    <w:p>
      <w:r>
        <w:t>FR: TAF D-5214/2015 du 4 janvier 2017</w:t>
      </w:r>
    </w:p>
    <w:p>
      <w:r>
        <w:t>IT: TAF D-5214/2015 del 4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Gericht stellt in Übereinstimmung mit dem SEM fest, dass es den Beschwerdeführenden nicht gelungen ist, die geltend gemachten Probleme im Iran glaubhaft darzulegen. In Übereinstimmung mit den Ausführungen der Vorinstanz in der angefochtenen Verfügung vom 27. Juli 2015 ist somit festzustellen, dass ihre Asylvorbringen weder den Anforderungen an die Flüchtlingseigenschaft gemäss Art. 3 AsylG noch denjenigen an die Glaubhaftigkeit gemäss Art. 7 AsylG standhalten. Auffällig ist insbesondere, dass die Beschwerdeführenden den Erhalt der Vorladung als wesentlichen Grund für ihre Ausreise angegeben haben, aber nicht gewusst haben wollen, dass es sich dabei um ein anderes Verfahren gehandelt habe, welches sie völlig vergessen hätten. In Anbetracht der Bedeutung, welche die Vorladung für die Beschwerdeführenden haben musste, kann dieser Erklärungsversuch nicht gehört werden. Auch die auf Beschwerdeebene erhobenen Bestreitungsvermerke der im vorinstanzlichen Entscheid dargelegten Unstimmigkeiten in ihren Schilderungen können zu keiner anderen Betrachtungsweise führen. Bei dieser Sachlage kann an dieser Stelle zur Vermeidung von Wiederholungen auf die zutreffenden Ausführungen in der angefochtenen Verfügung verwiesen werden. Der Vollständigkeit halber ist im Zusammenhang mit der geltend gemachten Konversion der Beschwerdeführenden festzuhalten, dass nach ständiger Praxis im Falle des Irans eine im Ausland erfolgte Konversion, mithin ein Übertritt zum christlichen Glauben, für sich alleine nicht zu einer individuellen staatlichen Verfolgung im Iran führt (vgl. BVGE 2009/28 E. 7.3.5). Eine allfällige Verfolgung durch den iranischen Staat kommt nach Auffassung des Gerichts erst dann zum Tragen, wenn der Wechsel des Glaubens aufgrund einer missionierenden Tätigkeit bekannt wird und zugleich Aktivitäten vorliegen, die vom Regime als Angriff auf den Staat angesehen werden können. In dieser Hinsicht ist bei den Beschwerdeführenden nichts ersichtlich, zumal es sich bei ihnen klar erkennbar um einfache Gemeindemitglieder handelt, welche in der Schweiz ihre sozialen Kontakte im Kreise ihrer christlichen Gemeinschaft pflegen. Anlass zur Annahme, ihr einfaches persönliches Engagement im Rahmen ihrer schweizerischen Kirchgemeinde könnte das Interesse der heimatlichen Behörden auf sie lenken, besteht nicht. Daran vermag auch das von den Beschwerdeführenden eingereichte Schreiben eines Schweizer Bundesrates vom 21. September 2015 nichts zu ändern, da sich dieses allgemein zur Menschrechtslage im Iran äussert, jedoch keinen Bezug zu ihrer Person und ihrer persönlichen Situation erkennen lässt.</w:t>
      </w:r>
    </w:p>
    <w:p>
      <w:r>
        <w:rPr>
          <w:b/>
        </w:rPr>
        <w:t>E. 5.2</w:t>
      </w:r>
    </w:p>
    <w:p>
      <w:r>
        <w:t>Gemäss öffentlich zugänglichen Quellen regelt Art. 22 des iranischen Familiengesetzes die sogenannte "Zeitehe" ("Sigheh"/"Sigeh"), welche für einen Zeitraum von 30 Minuten bis zu 99 Jahren vereinbart werden kann (vgl. "Irans Parlament erlaubt die Zeitehe", www.iranjournal.org/geselleschaft, aufgerufen am 12. Dezember 2016). Im Gegensatz zu früher werden die Beteiligten neu verpflichtet, ihre Zeitehe registrieren zu lassen, wenn die Frau schwanger ist, in beiderseitigem Einverständnis oder wenn einer der beiden Partner das Registrieren zur Bedingung der Zeitehe macht (vgl. a.a.O). Die Befürworter dieser Änderung argumentierten, dass die Registrierung der Zeitehen vor allem die Situation schwangerer Frauen erleichtere, da sie mit einem Dokument den Vater des Kindes nachweisen könnten. Im Falle eines beidseitigen Wunsches einer Verlängerung kann nach Ablauf einer Wartefrist ("idda") ein neuer Vertag geschlossen werden. Somit steht es den Beschwerdeführenden offen, im Iran eine neue Zeitehe zu schliessen und auch ihr gemeinsames Kind hat keine Nachteile aus der Zeitehe seiner Eltern zu befürchten.</w:t>
      </w:r>
    </w:p>
    <w:p>
      <w:r>
        <w:rPr>
          <w:b/>
        </w:rPr>
        <w:t>E. 5.3</w:t>
      </w:r>
    </w:p>
    <w:p>
      <w:r>
        <w:t>Zusammenfassend ist somit festzustellen, dass die Beschwerdeführenden in ihrer Heimat keine asylrelevante Verfolgung zu gewärtigen haben.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Zwar gibt die allgemeine Menschenrechtssituation im Iran regelmässig zu Klagen Anlass. Dieser Umstand lässt jedoch den Wegweisungsvollzug zum heutigen Zeitpunkt nicht als unzulässig erscheinen. Auch unter Berücksichtigung des von den Beschwerdeführenden vorgelegten Schreibens eines Schweizer Bundesrates vom 21. September 2015 ist nicht von der Unzulässigkeit des Wegweisungsvollzuges auszugehen.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Beschwerdeführenden haben bis im Alter von 28 beziehungsweise 31 Jahren stets in ihrer Heimat gelebt. Sie haben demnach ihre gesamte Sozialisation im Iran erfahren, weshalb davon ausgegangen werden kann, dass sie mit ihren heimatlichen Verhältnissen vertraut sind und sich wiederum in diese einfügen können, zumal sie im Iran auch weiterhin über verschiedene persönliche Anknüpfungspunkte verfügen dürften. Zudem führt bei Personen, welche ihre Heimat erst im Erwachsenenalter verlassen, auch eine längere Landesabwesenheit nicht zu einer Entwurzelung. Folglich ist es nicht ausschlaggebend, dass sich die Beschwerdeführenden seit dem Jahr 2010 in der Schweiz aufhalten. Sodann verfügt der Beschwerdeführer über einen überdurchschnittlichen Bildungsgrad und hat in seiner Heimat bis zu seiner Ausreise als Finanzdirektor einer Ersatzteilfirma gearbeitet. Die Beschwerdeführerin hat die Sekundarschule abgeschlossen und im Iran als angelernte Coiffeuse zu Hause selbständig gearbeitet. Bei einer solchen Ausgangslage ist nicht von einer existenzgefährdenden Situation im Falle einer Rückkehr und damit von der Zumutbarkeit des Wegweisungsvollzuges auszugehen.</w:t>
      </w:r>
    </w:p>
    <w:p>
      <w:r>
        <w:rPr>
          <w:b/>
        </w:rPr>
        <w:t>E. 7.6</w:t>
      </w:r>
    </w:p>
    <w:p>
      <w:r>
        <w:t>Schliesslich vermögen die Beschwerdeführenden auch aus dem Übereinkommen vom 20. November 1989 über die Rechte des Kindes (SR 0.107) kein Aufenthaltsrecht für die Familie abzuleiten. Der mittlerweile fünfjährige Sohn der Beschwerdeführenden ist in einem Alter, in welchem Kinder noch stark an ihre Eltern, insbesondere die Mutter gebunden sind, und noch keine selbstständigen Aussenkontakte erwerben. Somit kann bei ihm noch nicht von einer Entwurzelungssituation wegen des Wegweisungsvollzugs gesprochen werden, weshalb dieser auch unter dem Aspekt des Kindswohl zumutbar ist.</w:t>
      </w:r>
    </w:p>
    <w:p>
      <w:r>
        <w:rPr>
          <w:b/>
        </w:rPr>
        <w:t>E. 7.7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28. September 2015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