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D-5206/2007 vom 17. Dezember 2009</w:t>
      </w:r>
    </w:p>
    <w:p>
      <w:r>
        <w:t>Bundesverwaltungsgericht, 2009-12-17, DE</w:t>
      </w:r>
    </w:p>
    <w:p>
      <w:r>
        <w:rPr>
          <w:b/>
        </w:rPr>
        <w:t xml:space="preserve">Quelle: </w:t>
      </w:r>
      <w:r>
        <w:t>https://mcp.opencaselaw.ch/entscheid/bvger_D-5206_2007</w:t>
      </w:r>
    </w:p>
    <w:p>
      <w:r>
        <w:t>FR: TAF D-5206/2007 du 17 décembre 2009</w:t>
      </w:r>
    </w:p>
    <w:p>
      <w:r>
        <w:t>IT: TAF D-5206/2007 del 17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in der angefochtenen Verfügung vom 28. Juni 2007 überzeugend dargelegt, dass es sich bei den vom Beschwerdeführer vorgebrachten Nachteilen um lokale Verfolgungsmassnahmen handle, die allesamt vom Dorfchef des Ortes B._______ ausgehen würden. Der Beschwerdeführer könne sich dieser Verfolgung somit mit einem Umzug in einen anderen Ort in Kamerun mühelos entziehen. Auch seine legale Ausreise über den Flughafen C._______ mit seinem eigenen Reisepass bestätige, dass keine landesweite Verfolgung gegen ihn vorliege. Bei der Partei des Beschwerdeführers handle es sich zudem um eine legale Oppositionspartei. Er habe überdies von einem Parteikollegen gesprochen, der über das gleiche politische Profil wie er selber verfüge (Präsident einer der Unter-Federationen, vgl. A41, S. 11), jedoch keinerlei Verfolgungsmassnahmen durch den Dorfchef von B._______ ausgesetzt sei, da er in einem anderen Ort lebe. Es sei somit festzuhalten, der Beschwerdeführer könne sich durch einen Wegzug in einen anderen Teil seines Heimatlandes den Verfolgungshandlungen durch den Dorfchef von B._______ entziehen.</w:t>
      </w:r>
    </w:p>
    <w:p>
      <w:r>
        <w:rPr>
          <w:b/>
        </w:rPr>
        <w:t>E. 4.2</w:t>
      </w:r>
    </w:p>
    <w:p>
      <w:r>
        <w:t>Die Vorbringen in der Rechtsmitteleingabe vom 2. August 2007 sind insgesamt nicht geeignet, eine Änderung der vorinstanzlichen Verfügung zu bewirken. Der Argumentation des BFM werden keine stichhaltigen und substanziierten Gründe entgegengesetzt. Eine diesbezügliche Auseinandersetzung unterbleibt zwar nicht grundsätzlich. Die Ausführungen des Beschwerdeführers vermögen jedoch die substanziiert vorgebrachten und einwandfrei nachvollziehbaren Erwägungen des BFM nicht umzustossen. Für das Bundesverwaltungsgericht besteht nach Überprüfung der Akten keine Veranlassung, die Erwägungen der Vorinstanz zu beanstanden. Um Wiederholungen zu vermeiden, kann daher auf die diesbezüglich zutreffenden Ausführungen in der angefochtenen Verfügung verwiesen werden (vgl. Art. 4 VwVG i.V.m. Art. 6 AsylG und Art. 109 Abs. 3 BGG).</w:t>
      </w:r>
    </w:p>
    <w:p>
      <w:r>
        <w:rPr>
          <w:b/>
        </w:rPr>
        <w:t>E. 4.3</w:t>
      </w:r>
    </w:p>
    <w:p>
      <w:r>
        <w:t>Zudem sind, wie bereits vom BFM mit einem Vorbehalt ausgeführt (vgl. A42, S. 3), Zweifel an der Glaubhaftigkeit der Vorbringen des Beschwerdeführers anzubringen. So fällt insbesondere auf, dass der Beschwerdeführer die geltend gemachten Geschehnisse, die ihn schliesslich zur Ausreise gezwungen hätten, in der Bundesanhörung vom 27. Juni 2007 nicht mit einem genauen Datum oder einer präzisen Uhrzeit hat in Verbindung bringen können. Es ist jedoch nach der allgemeinen Lebenserfahrung davon auszugehen, dass sich jemand genau an einschneidende Erlebnisse - wie etwa den Überfall von vier maskierten Männern, welche den Beschwerdeführer geschlagen und seine Töchter zu vergewaltigen versucht haben sollen - erinnern kann. Auch die Zerstörung seiner Plantage konnte er nicht auf den Tag genau angeben, er wisse nicht mehr, ob es der 9., 10. oder 11. März (Anmerkung des Bundesverwaltungsgerichts: 2006) gewesen sei (vgl. A41, S. 7). Es ist nicht nachvollziehbar, dass der Beschwerdeführer, welcher in seiner Heimat verantwortungsvolle berufliche Aufgaben erledigt hat (er war unter anderem 23 Jahre lang Direktor eines Hotels [vgl. A35, S. 2]), sich an kein einziges genaues Datum der von ihm geschilderten, persönlich einschneidenden Vorkommnisse erinnern kann. Dies erstaunt umso mehr, als er Beweisakten eingereicht hat, die teilweise datiert sind (vgl. A24). Ebenso spricht gegen die Glaubhaftigkeit seiner Vorbringen, dass er nach dem geltend gemachten Überfall vom September 2006 sich noch über ein halbes Jahr (zumindest teilweise) in B._______ aufgehalten hat. Obwohl er zunächst zu Protokoll gab, er habe sich nur noch nachts nach B._______ begeben (vgl. A41, S. 12), korrigierte er seine Aussage nach dem Einwand des Befragers in dem Sinne, dann hätte er die Gendarmerie gar nicht aufsuchen können, er sei einfach nicht am helllichten Tag nach B._______ gegangen (vgl. A41, S. 12). Auch seine Ausführungen zum Verfassen beziehungsweise zur Abgabe des Briefes an die Gendarmerie zwecks Information des Vorfalles vom September 2006 sind widersprüchlich. Zuerst gab er zu Protokoll, er habe den Brief persönlich bei der Gendarmerie abgegeben. Als der Beschwerdeführer nach dem Zeitpunkt der Briefabgabe gefragt wurde, brachte er vor, dies sei vier Tage nach dem Überfall gewesen (vgl. A41, S. 9). Zuvor sagte der Beschwerdeführer jedoch, er sei nach dem Überfall durch die vier maskierten Männer vier Tage im Spital gewesen (vgl. A41, S. 7). Auf diesen Widerspruch aufmerksam gemacht, war es dann seine Frau, die den Brief gemäss seinen Instruktionen in einem Cyber-Café geschrieben haben soll (vgl. A41, S. 10). Das eingereichte Schreiben des Präsidenten der UFDC hat den Charakter eines Gefälligkeitsschreiben, dessen Beweiswert tief anzusetzen ist. Dies umso mehr, als der Brief zwar auf den 25. Juni 2007 datiert ist, also noch bevor die Verfügung der Vorinstanz eröffnet worden ist (die Verfügung vom 28. Juni 2007 wurde dem Beschwerdeführer am 5. Juli 2007 eröffnet), jedoch erst mit der Beschwerdeeingabe (am 2. August 2007) wohl als Reaktion auf die Ausführungen des BFM nachgereicht worden ist. Dem Beschwerdeführer wäre es also möglich gewesen, dieses Schreiben schon früher einzubringen. Das nachträgliche Einreichen des Schriftstückes mit Vordatieren wirkt als konstruiert. Es ist weiter unverständlich, dass sowohl der Beschwerdeführer als auch dessen Parteikollege allein geflüchtet ist, ohne ihre ebenfalls bedrohten Familienmitglieder mitzunehmen oder wenigstens in Sicherheit gebracht zu haben. Insgesamt wirken die Vorbringen des Beschwerdeführers konstruiert. Die Frage nach der Glaubhaftigkeit der Vorbringen kann indes nach dem oben Gesagten offengelassen werden.</w:t>
      </w:r>
    </w:p>
    <w:p>
      <w:r>
        <w:rPr>
          <w:b/>
        </w:rPr>
        <w:t>E. 4.4</w:t>
      </w:r>
    </w:p>
    <w:p>
      <w:r>
        <w:t>Aufgrund der vorstehenden Erwägungen erübrigt es sich ohne weiteren Begründungsaufwand, auf die weiteren Ausführungen in der Eingabe des Beschwerdeführers einzugehen, da sie am Ergebnis der vorgenommenen Würdigung nichts zu ändern vermögen. Das Bundesamt hat das Asylgesuch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Kamerun ist demnach unter dem Aspekt von Art. 5 AsylG rechtmässig. Sodann ergeben sich weder aus den Aussagen des Beschwerdeführers noch aus den Akten Anhaltspunkte dafür, dass er für den Fall einer Ausschaffung nach Kamerun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Saadi gegen Italien, Urteil vom 28. Februar 2008, Beschwerde Nr. 37201/06, §§ 124-127). Auch die allgemeine Menschenrechtssituation in Kamerun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Der Versuch des seit 1982 ununterbrochen als Präsident amtierenden Paul Biya, mit einer Verfassungsänderung die bisherige Amtszeitbeschränkung für Staatschefs abzuschaffen, führte gegen Ende des Jahres 2007 zu massiven innenpolitischen Spannungen. Die Unzufriedenheit grosser Teile der Bevölkerung wurde durch die stark angestiegenen Lebenshaltungskosten, insbesondere durch die Preiserhöhung beim Treibstoff verstärkt. In der Folge kam es zwischen dem 23. und dem 29. Februar 2008 zuerst in Douala und dann auch in Yaoundé sowie in verschiedenen anderen Städten im Westen Kameruns zu blutigen Auseinandersetzungen zwischen Demonstranten und Sicherheitskräften. Nach Zugeständnissen seitens der Regierung - etwa durch die Befreiung von Abgaben auf verschiedenen lebensnotwendigen Gütern oder durch die Vergünstigung von Treibstoff für Taxis - beruhigte sich die Lage wieder. Auch die am 11. April 2008 erfolgte, die Amtszeitbeschränkung für den Staatschef betreffende Verfassungsänderung löste keine neuen Unruhen aus. Es kann demnach im jetzigen Zeitpunkt nicht von Krieg, Bürgerkrieg oder von einer Situation allgemeiner Gewalt, welche für den Beschwerdeführer bei seiner Rückkehr nach Kamerun eine konkrete Gefährdung darstellen würde, gesprochen werden.</w:t>
      </w:r>
    </w:p>
    <w:p>
      <w:r>
        <w:rPr>
          <w:b/>
        </w:rPr>
        <w:t>E. 6.4.2</w:t>
      </w:r>
    </w:p>
    <w:p>
      <w:r>
        <w:t>Es sind auch keine individuellen Gründe ersichtlich, die die Rückkehr des Beschwerdeführers als unzumutbar erscheinen lassen würden. In den Akten finden sich keine konkreten Anhaltspunkte dafür, dass er aus individuellen Gründen wirtschaftlicher, sozialer oder gesundheitlicher Natur in eine existenzbedrohende Situation geraten würde. Er hat bis zu seiner Ausreise am 4. Mai 2007 in Kamerun gelebt und ist somit mit den dortigen Verhältnissen bestens vertraut. Zudem verfügt er im Heimatstaat über ein verwandtschaftliches Beziehungsnetz (vgl. A35, S. 2 f.). Angesichts seiner guten Schul- und Ausbildung (Buchhalter), seiner Sprachenkenntnisse und seiner mehrjährigen Berufserfahrung als Hoteldirektor und Plantagenbesitzer (vgl. A35, S. 2) kann insgesamt davon ausgegangen werden, dass er sich in seinem Heimatland wieder integrieren kann. Es ist ihm zudem freigestellt sich an einem anderen Ort als in B._______ niederzulassen, beispielsweise in F._______ oder C._______, wo er aufgewachsen ist und studiert hat (vgl. A28, S. 21).</w:t>
      </w:r>
    </w:p>
    <w:p>
      <w:r>
        <w:rPr>
          <w:b/>
        </w:rPr>
        <w:t>E. 6.4.3</w:t>
      </w:r>
    </w:p>
    <w:p>
      <w:r>
        <w:t>Der Vollzug der Wegweisung erweist sich daher sowohl in genereller als auch in individueller Hinsicht als zumutbar.</w:t>
      </w:r>
    </w:p>
    <w:p>
      <w:r>
        <w:rPr>
          <w:b/>
        </w:rPr>
        <w:t>E. 6.5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In der Zwischenverfügung des Instruktionsrichters vom 8. August 2007 wurde der Entscheid über das Gesuch betreffend die Gewährung der unentgeltlichen Rechtspflege auf den Endentscheid verschoben. Dieser Entscheid ist nun nachzuholen, und das Gesuch anhand des Umstandes, dass der Beschwerdeführer seit geraumer Zeit erwerbstätig ist, somit ein geregeltes Einkommen aufweist und folglich keine Bedürftigkeit im Sinne von Art. 65 Abs. 1 VwVG vorliegt, abzuweisen. Die Verfahrenskosten sind somit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